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98006-424b5_heico.htm"/>
      <w:bookmarkStart w:id="1" w:name="ksea0298006424b5_heico"/>
      <w:bookmarkEnd w:id="0"/>
      <w:bookmarkEnd w:id="1"/>
      <w:r>
        <w:rPr>
          <w:rFonts w:ascii="Times New Roman;Times;Serif" w:hAnsi="Times New Roman;Times;Serif"/>
          <w:b/>
          <w:i w:val="false"/>
          <w:caps w:val="false"/>
          <w:smallCaps w:val="false"/>
          <w:sz w:val="20"/>
        </w:rPr>
        <w:t>Filed Pursuant to Rule 424(b)(5)</w:t>
        <w:br/>
        <w:t>Registration No. 333-297410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July 13,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23975" cy="209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23975" cy="2095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HEICO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$550,000,000 4.950% Notes due 2031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$650,000,000 5.400% Notes due 2036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 (“HEICO,” the “Company,” “we,” “our” or “us”) is offering $550,000,000 aggregate principal amount of its 4.950% notes due 2031 (the “2031 notes”) and $650,000,000 aggregate principal amount of its 5.400% notes due 2036 (the “2036 notes” and, together with the 2031 notes, the “notes”). Interest on the notes will be payable semiannually in arrears on February 1 and August 1 of each year, commencing on February 1, 2027. The 2031 notes will mature on August 1, 2031 and the 2036 notes will mature on August 1, 2036.</w:t>
      </w:r>
    </w:p>
    <w:p>
      <w:pPr>
        <w:pStyle w:val="TextBody"/>
        <w:bidi w:val="0"/>
        <w:spacing w:before="0" w:after="0"/>
        <w:ind w:left="432"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applicable Par Call Date (as defined below), we may redeem at our option the 2031 notes and the 2036 notes, at any time in whole, or from time to time in part, at the applicable redemption price described under “Description of the Notes—Optional Redemption,” plus accrued and unpaid interest, to but excluding the redemption date. On or after the applicable Par Call Date, such notes will be redeemable at our option, at any time in whole, or from time to time in part, at a redemption price equal to 100% of their principal amount, plus accrued and unpaid interest, to but excluding the redemption date.</w:t>
      </w:r>
    </w:p>
    <w:p>
      <w:pPr>
        <w:pStyle w:val="TextBody"/>
        <w:bidi w:val="0"/>
        <w:spacing w:before="0" w:after="0"/>
        <w:ind w:left="432"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our senior unsecured obligations and will rank equally in right of payment with all of our existing and future senior unsecured indebtedness. The notes will be effectively subordinated to any of our existing and future secured indebtedness to the extent of the value of the collateral securing such indebtedness. The notes will be structurally subordinated to any existing or future indebtedness of our subsidiaries.</w:t>
      </w:r>
    </w:p>
    <w:p>
      <w:pPr>
        <w:pStyle w:val="TextBody"/>
        <w:bidi w:val="0"/>
        <w:spacing w:before="0" w:after="0"/>
        <w:ind w:left="432"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new issues of securities with no established trading markets. We do not intend to list the notes on any securities exchange or any automated quotation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 notes involves risks. You should carefully read the entire accompanying prospectus and this prospectus supplement and the documents incorporated by reference herein and therein, including the section entitled “Risk Factors,” which begins on page S-6 of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pStyle w:val="TextBody"/>
        <w:bidi w:val="0"/>
        <w:spacing w:before="0" w:after="0"/>
        <w:ind w:left="0" w:right="0" w:firstLine="720"/>
        <w:jc w:val="left"/>
        <w:rPr>
          <w:caps w:val="false"/>
          <w:smallCaps w:val="false"/>
        </w:rPr>
      </w:pPr>
      <w:r>
        <w:rPr>
          <w:caps w:val="false"/>
          <w:smallCaps w:val="false"/>
        </w:rPr>
        <w:t> </w:t>
      </w:r>
    </w:p>
    <w:tbl>
      <w:tblPr>
        <w:tblW w:w="8990" w:type="dxa"/>
        <w:jc w:val="left"/>
        <w:tblInd w:w="0" w:type="dxa"/>
        <w:tblLayout w:type="fixed"/>
        <w:tblCellMar>
          <w:top w:w="0" w:type="dxa"/>
          <w:left w:w="0" w:type="dxa"/>
          <w:bottom w:w="0" w:type="dxa"/>
          <w:right w:w="0" w:type="dxa"/>
        </w:tblCellMar>
      </w:tblPr>
      <w:tblGrid>
        <w:gridCol w:w="1985"/>
        <w:gridCol w:w="60"/>
        <w:gridCol w:w="69"/>
        <w:gridCol w:w="686"/>
        <w:gridCol w:w="185"/>
        <w:gridCol w:w="60"/>
        <w:gridCol w:w="125"/>
        <w:gridCol w:w="1205"/>
        <w:gridCol w:w="60"/>
        <w:gridCol w:w="60"/>
        <w:gridCol w:w="83"/>
        <w:gridCol w:w="672"/>
        <w:gridCol w:w="185"/>
        <w:gridCol w:w="60"/>
        <w:gridCol w:w="125"/>
        <w:gridCol w:w="845"/>
        <w:gridCol w:w="60"/>
        <w:gridCol w:w="60"/>
        <w:gridCol w:w="69"/>
        <w:gridCol w:w="686"/>
        <w:gridCol w:w="185"/>
        <w:gridCol w:w="60"/>
        <w:gridCol w:w="125"/>
        <w:gridCol w:w="1205"/>
        <w:gridCol w:w="75"/>
      </w:tblGrid>
      <w:tr>
        <w:trPr/>
        <w:tc>
          <w:tcPr>
            <w:tcW w:w="19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Public Offering </w:t>
              <w:br/>
              <w:t>Price</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w:t>
              <w:br/>
              <w:t>Discount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Proceeds to us, </w:t>
              <w:br/>
              <w:t>before expenses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Note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Note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Note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4.950% Notes due 2031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99.936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549,648,000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99.336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546,348,000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5.400% Notes due 2036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99.905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649,382,500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0.650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99.255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645,157,500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top w:val="single" w:sz="12" w:space="0" w:color="000000"/>
              <w:bottom w:val="double" w:sz="10" w:space="0" w:color="000000"/>
            </w:tcBorders>
            <w:shd w:fill="CCEEFF" w:val="clear"/>
            <w:tcMar>
              <w:top w:w="2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top w:val="single" w:sz="12" w:space="0" w:color="000000"/>
              <w:bottom w:val="double" w:sz="10" w:space="0" w:color="000000"/>
            </w:tcBorders>
            <w:shd w:fill="CCEEFF" w:val="clear"/>
            <w:tcMar>
              <w:top w:w="28"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1,199,030,500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top w:val="single" w:sz="12" w:space="0" w:color="000000"/>
              <w:bottom w:val="double" w:sz="10" w:space="0" w:color="000000"/>
            </w:tcBorders>
            <w:shd w:fill="CCEEFF" w:val="clear"/>
            <w:tcMar>
              <w:top w:w="2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top w:val="single" w:sz="12" w:space="0" w:color="000000"/>
              <w:bottom w:val="double" w:sz="10" w:space="0" w:color="000000"/>
            </w:tcBorders>
            <w:shd w:fill="CCEEFF" w:val="clear"/>
            <w:tcMar>
              <w:top w:w="28"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top w:val="single" w:sz="12" w:space="0" w:color="000000"/>
              <w:bottom w:val="double" w:sz="10" w:space="0" w:color="000000"/>
            </w:tcBorders>
            <w:shd w:fill="CCEEFF" w:val="clear"/>
            <w:tcMar>
              <w:top w:w="2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top w:val="single" w:sz="12" w:space="0" w:color="000000"/>
              <w:bottom w:val="double" w:sz="10" w:space="0" w:color="000000"/>
            </w:tcBorders>
            <w:shd w:fill="CCEEFF" w:val="clear"/>
            <w:tcMar>
              <w:top w:w="28"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1,191,505,500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260"/>
        <w:gridCol w:w="692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Plus accrued interest from July 16, 2026 if delivery of the notes occurs after that date.</w:t>
            </w:r>
          </w:p>
        </w:tc>
      </w:tr>
    </w:tbl>
    <w:p>
      <w:pPr>
        <w:pStyle w:val="TextBody"/>
        <w:bidi w:val="0"/>
        <w:spacing w:before="0" w:after="0"/>
        <w:ind w:left="432" w:right="0" w:firstLine="547"/>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expect to deliver the notes only in book-entry form through the facilities of The Depository Trust Company for the accounts of its participants, including Euroclear Bank S.A./N.V., as operator of the Euroclear System, and Clearstream Banking, S.A., on or about July 16,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Joint Book-Running Managers</w:t>
      </w:r>
    </w:p>
    <w:p>
      <w:pPr>
        <w:pStyle w:val="TextBody"/>
        <w:bidi w:val="0"/>
        <w:spacing w:before="0" w:after="0"/>
        <w:ind w:left="0" w:right="0" w:hanging="0"/>
        <w:jc w:val="left"/>
        <w:rPr>
          <w:caps w:val="false"/>
          <w:smallCaps w:val="false"/>
        </w:rPr>
      </w:pPr>
      <w:r>
        <w:rPr>
          <w:caps w:val="false"/>
          <w:smallCaps w:val="false"/>
        </w:rPr>
        <w:t> </w:t>
      </w:r>
    </w:p>
    <w:tbl>
      <w:tblPr>
        <w:tblW w:w="10020" w:type="dxa"/>
        <w:jc w:val="left"/>
        <w:tblInd w:w="0" w:type="dxa"/>
        <w:tblLayout w:type="fixed"/>
        <w:tblCellMar>
          <w:top w:w="0" w:type="dxa"/>
          <w:left w:w="0" w:type="dxa"/>
          <w:bottom w:w="0" w:type="dxa"/>
          <w:right w:w="0" w:type="dxa"/>
        </w:tblCellMar>
      </w:tblPr>
      <w:tblGrid>
        <w:gridCol w:w="1385"/>
        <w:gridCol w:w="60"/>
        <w:gridCol w:w="1310"/>
        <w:gridCol w:w="60"/>
        <w:gridCol w:w="2240"/>
        <w:gridCol w:w="60"/>
        <w:gridCol w:w="1910"/>
        <w:gridCol w:w="60"/>
        <w:gridCol w:w="1505"/>
        <w:gridCol w:w="60"/>
        <w:gridCol w:w="1370"/>
      </w:tblGrid>
      <w:tr>
        <w:trPr/>
        <w:tc>
          <w:tcPr>
            <w:tcW w:w="1385" w:type="dxa"/>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Truist Securities</w:t>
            </w:r>
          </w:p>
        </w:tc>
        <w:tc>
          <w:tcPr>
            <w:tcW w:w="60" w:type="dxa"/>
            <w:tcBorders/>
            <w:vAlign w:val="center"/>
          </w:tcPr>
          <w:p>
            <w:pPr>
              <w:pStyle w:val="TableContents"/>
              <w:bidi w:val="0"/>
              <w:spacing w:before="0" w:after="283"/>
              <w:jc w:val="center"/>
              <w:rPr/>
            </w:pPr>
            <w:r>
              <w:rPr/>
              <w:t> </w:t>
            </w:r>
          </w:p>
        </w:tc>
        <w:tc>
          <w:tcPr>
            <w:tcW w:w="1310" w:type="dxa"/>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BofA Securities</w:t>
            </w:r>
          </w:p>
        </w:tc>
        <w:tc>
          <w:tcPr>
            <w:tcW w:w="60" w:type="dxa"/>
            <w:tcBorders/>
            <w:vAlign w:val="center"/>
          </w:tcPr>
          <w:p>
            <w:pPr>
              <w:pStyle w:val="TableContents"/>
              <w:bidi w:val="0"/>
              <w:spacing w:before="0" w:after="283"/>
              <w:jc w:val="center"/>
              <w:rPr/>
            </w:pPr>
            <w:r>
              <w:rPr/>
              <w:t> </w:t>
            </w:r>
          </w:p>
        </w:tc>
        <w:tc>
          <w:tcPr>
            <w:tcW w:w="2240" w:type="dxa"/>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PNC Capital Markets LLC</w:t>
            </w:r>
          </w:p>
        </w:tc>
        <w:tc>
          <w:tcPr>
            <w:tcW w:w="60" w:type="dxa"/>
            <w:tcBorders/>
            <w:vAlign w:val="center"/>
          </w:tcPr>
          <w:p>
            <w:pPr>
              <w:pStyle w:val="TableContents"/>
              <w:bidi w:val="0"/>
              <w:spacing w:before="0" w:after="283"/>
              <w:jc w:val="center"/>
              <w:rPr/>
            </w:pPr>
            <w:r>
              <w:rPr/>
              <w:t> </w:t>
            </w:r>
          </w:p>
        </w:tc>
        <w:tc>
          <w:tcPr>
            <w:tcW w:w="1910" w:type="dxa"/>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Wells Fargo Securities</w:t>
            </w:r>
          </w:p>
        </w:tc>
        <w:tc>
          <w:tcPr>
            <w:tcW w:w="60" w:type="dxa"/>
            <w:tcBorders/>
            <w:vAlign w:val="center"/>
          </w:tcPr>
          <w:p>
            <w:pPr>
              <w:pStyle w:val="TableContents"/>
              <w:bidi w:val="0"/>
              <w:spacing w:before="0" w:after="283"/>
              <w:jc w:val="center"/>
              <w:rPr/>
            </w:pPr>
            <w:r>
              <w:rPr/>
              <w:t> </w:t>
            </w:r>
          </w:p>
        </w:tc>
        <w:tc>
          <w:tcPr>
            <w:tcW w:w="1505" w:type="dxa"/>
            <w:tcBorders/>
            <w:vAlign w:val="center"/>
          </w:tcPr>
          <w:p>
            <w:pPr>
              <w:pStyle w:val="TableContents"/>
              <w:bidi w:val="0"/>
              <w:spacing w:before="0" w:after="283"/>
              <w:jc w:val="center"/>
              <w:rPr>
                <w:b/>
                <w:i/>
              </w:rPr>
            </w:pPr>
            <w:r>
              <w:rPr>
                <w:b/>
                <w:i/>
              </w:rPr>
              <w:t>Credit Agricole</w:t>
              <w:br/>
              <w:t>CIB</w:t>
            </w:r>
          </w:p>
        </w:tc>
        <w:tc>
          <w:tcPr>
            <w:tcW w:w="60" w:type="dxa"/>
            <w:tcBorders/>
            <w:vAlign w:val="center"/>
          </w:tcPr>
          <w:p>
            <w:pPr>
              <w:pStyle w:val="TableContents"/>
              <w:bidi w:val="0"/>
              <w:spacing w:before="0" w:after="283"/>
              <w:jc w:val="center"/>
              <w:rPr/>
            </w:pPr>
            <w:r>
              <w:rPr/>
              <w:t> </w:t>
            </w:r>
          </w:p>
        </w:tc>
        <w:tc>
          <w:tcPr>
            <w:tcW w:w="1370" w:type="dxa"/>
            <w:tcBorders/>
            <w:vAlign w:val="center"/>
          </w:tcPr>
          <w:p>
            <w:pPr>
              <w:pStyle w:val="TableContents"/>
              <w:bidi w:val="0"/>
              <w:spacing w:before="0" w:after="283"/>
              <w:jc w:val="center"/>
              <w:rPr>
                <w:b/>
                <w:i/>
              </w:rPr>
            </w:pPr>
            <w:r>
              <w:rPr>
                <w:b/>
                <w:i/>
              </w:rPr>
              <w:t>TD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Co-Managers</w:t>
      </w:r>
    </w:p>
    <w:p>
      <w:pPr>
        <w:pStyle w:val="TextBody"/>
        <w:bidi w:val="0"/>
        <w:spacing w:before="0" w:after="0"/>
        <w:ind w:left="0" w:right="0" w:hanging="0"/>
        <w:jc w:val="left"/>
        <w:rPr>
          <w:caps w:val="false"/>
          <w:smallCaps w:val="false"/>
        </w:rPr>
      </w:pPr>
      <w:r>
        <w:rPr>
          <w:caps w:val="false"/>
          <w:smallCaps w:val="false"/>
        </w:rPr>
        <w:t> </w:t>
      </w:r>
    </w:p>
    <w:tbl>
      <w:tblPr>
        <w:tblW w:w="7340" w:type="dxa"/>
        <w:jc w:val="left"/>
        <w:tblInd w:w="0" w:type="dxa"/>
        <w:tblLayout w:type="fixed"/>
        <w:tblCellMar>
          <w:top w:w="0" w:type="dxa"/>
          <w:left w:w="0" w:type="dxa"/>
          <w:bottom w:w="0" w:type="dxa"/>
          <w:right w:w="0" w:type="dxa"/>
        </w:tblCellMar>
      </w:tblPr>
      <w:tblGrid>
        <w:gridCol w:w="2180"/>
        <w:gridCol w:w="60"/>
        <w:gridCol w:w="1265"/>
        <w:gridCol w:w="60"/>
        <w:gridCol w:w="1565"/>
        <w:gridCol w:w="60"/>
        <w:gridCol w:w="2150"/>
      </w:tblGrid>
      <w:tr>
        <w:trPr/>
        <w:tc>
          <w:tcPr>
            <w:tcW w:w="2180" w:type="dxa"/>
            <w:tcBorders/>
            <w:vAlign w:val="center"/>
          </w:tcPr>
          <w:p>
            <w:pPr>
              <w:pStyle w:val="TableContents"/>
              <w:bidi w:val="0"/>
              <w:spacing w:before="0" w:after="283"/>
              <w:jc w:val="center"/>
              <w:rPr>
                <w:b/>
                <w:i/>
              </w:rPr>
            </w:pPr>
            <w:r>
              <w:rPr>
                <w:b/>
                <w:i/>
              </w:rPr>
              <w:t>Huntington Securities</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b/>
                <w:i/>
              </w:rPr>
            </w:pPr>
            <w:r>
              <w:rPr>
                <w:b/>
                <w:i/>
              </w:rPr>
              <w:t>J.P. Morgan</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i/>
              </w:rPr>
            </w:pPr>
            <w:r>
              <w:rPr>
                <w:b/>
                <w:i/>
              </w:rPr>
              <w:t>M&amp;T Securities</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center"/>
              <w:rPr>
                <w:b/>
                <w:i/>
              </w:rPr>
            </w:pPr>
            <w:r>
              <w:rPr>
                <w:b/>
                <w:i/>
              </w:rPr>
              <w:t>RBC Capital Markets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 Supplement dated 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Prospectus Supplement</w:t>
      </w:r>
    </w:p>
    <w:p>
      <w:pPr>
        <w:pStyle w:val="TextBody"/>
        <w:bidi w:val="0"/>
        <w:spacing w:before="0" w:after="0"/>
        <w:ind w:left="0" w:right="0" w:hanging="0"/>
        <w:jc w:val="center"/>
        <w:rPr>
          <w:caps/>
        </w:rPr>
      </w:pPr>
      <w:r>
        <w:rPr>
          <w:caps/>
        </w:rPr>
        <w:t> </w:t>
      </w:r>
    </w:p>
    <w:tbl>
      <w:tblPr>
        <w:tblW w:w="6610" w:type="dxa"/>
        <w:jc w:val="left"/>
        <w:tblInd w:w="0" w:type="dxa"/>
        <w:tblLayout w:type="fixed"/>
        <w:tblCellMar>
          <w:top w:w="0" w:type="dxa"/>
          <w:left w:w="0" w:type="dxa"/>
          <w:bottom w:w="0" w:type="dxa"/>
          <w:right w:w="0" w:type="dxa"/>
        </w:tblCellMar>
      </w:tblPr>
      <w:tblGrid>
        <w:gridCol w:w="6155"/>
        <w:gridCol w:w="455"/>
      </w:tblGrid>
      <w:tr>
        <w:trPr/>
        <w:tc>
          <w:tcPr>
            <w:tcW w:w="6155"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6155" w:type="dxa"/>
            <w:tcBorders/>
            <w:shd w:fill="CCEEFF" w:val="clear"/>
            <w:vAlign w:val="center"/>
          </w:tcPr>
          <w:p>
            <w:pPr>
              <w:pStyle w:val="TableContents"/>
              <w:bidi w:val="0"/>
              <w:spacing w:before="0" w:after="283"/>
              <w:jc w:val="left"/>
              <w:rPr/>
            </w:pPr>
            <w:hyperlink w:anchor="pro_001">
              <w:r>
                <w:rPr>
                  <w:rStyle w:val="InternetLink"/>
                  <w:rFonts w:ascii="Times New Roman;Times;Serif" w:hAnsi="Times New Roman;Times;Serif"/>
                  <w:caps/>
                  <w:sz w:val="20"/>
                </w:rPr>
                <w:t>About This Prospectus Supplement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S-ii</w:t>
            </w:r>
          </w:p>
        </w:tc>
      </w:tr>
      <w:tr>
        <w:trPr/>
        <w:tc>
          <w:tcPr>
            <w:tcW w:w="6155" w:type="dxa"/>
            <w:tcBorders/>
            <w:shd w:fill="FFFFFF" w:val="clear"/>
            <w:vAlign w:val="center"/>
          </w:tcPr>
          <w:p>
            <w:pPr>
              <w:pStyle w:val="TableContents"/>
              <w:bidi w:val="0"/>
              <w:spacing w:before="0" w:after="283"/>
              <w:jc w:val="left"/>
              <w:rPr/>
            </w:pPr>
            <w:hyperlink w:anchor="pro_002">
              <w:r>
                <w:rPr>
                  <w:rStyle w:val="InternetLink"/>
                  <w:rFonts w:ascii="Times New Roman;Times;Serif" w:hAnsi="Times New Roman;Times;Serif"/>
                  <w:caps/>
                  <w:sz w:val="20"/>
                </w:rPr>
                <w:t>Where You Can Find Additional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S-iii</w:t>
            </w:r>
          </w:p>
        </w:tc>
      </w:tr>
      <w:tr>
        <w:trPr/>
        <w:tc>
          <w:tcPr>
            <w:tcW w:w="6155" w:type="dxa"/>
            <w:tcBorders/>
            <w:shd w:fill="CCEEFF" w:val="clear"/>
            <w:vAlign w:val="center"/>
          </w:tcPr>
          <w:p>
            <w:pPr>
              <w:pStyle w:val="TableContents"/>
              <w:bidi w:val="0"/>
              <w:spacing w:before="0" w:after="283"/>
              <w:jc w:val="left"/>
              <w:rPr/>
            </w:pPr>
            <w:hyperlink w:anchor="pro_003">
              <w:r>
                <w:rPr>
                  <w:rStyle w:val="InternetLink"/>
                  <w:rFonts w:ascii="Times New Roman;Times;Serif" w:hAnsi="Times New Roman;Times;Serif"/>
                  <w:caps/>
                  <w:sz w:val="20"/>
                </w:rPr>
                <w:t>Extended Settlement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S-iv</w:t>
            </w:r>
          </w:p>
        </w:tc>
      </w:tr>
      <w:tr>
        <w:trPr/>
        <w:tc>
          <w:tcPr>
            <w:tcW w:w="6155" w:type="dxa"/>
            <w:tcBorders/>
            <w:shd w:fill="FFFFFF" w:val="clear"/>
            <w:vAlign w:val="center"/>
          </w:tcPr>
          <w:p>
            <w:pPr>
              <w:pStyle w:val="TableContents"/>
              <w:bidi w:val="0"/>
              <w:spacing w:before="0" w:after="283"/>
              <w:jc w:val="left"/>
              <w:rPr/>
            </w:pPr>
            <w:hyperlink w:anchor="pro_004">
              <w:r>
                <w:rPr>
                  <w:rStyle w:val="InternetLink"/>
                  <w:rFonts w:ascii="Times New Roman;Times;Serif" w:hAnsi="Times New Roman;Times;Serif"/>
                  <w:caps/>
                  <w:sz w:val="20"/>
                </w:rPr>
                <w:t>Incorporation of Certain Documents By Reference</w:t>
              </w:r>
            </w:hyperlink>
          </w:p>
        </w:tc>
        <w:tc>
          <w:tcPr>
            <w:tcW w:w="455" w:type="dxa"/>
            <w:tcBorders/>
            <w:shd w:fill="FFFFFF" w:val="clear"/>
            <w:vAlign w:val="center"/>
          </w:tcPr>
          <w:p>
            <w:pPr>
              <w:pStyle w:val="TableContents"/>
              <w:bidi w:val="0"/>
              <w:spacing w:before="0" w:after="283"/>
              <w:jc w:val="center"/>
              <w:rPr/>
            </w:pPr>
            <w:r>
              <w:rPr>
                <w:rFonts w:ascii="Times New Roman;Times;Serif" w:hAnsi="Times New Roman;Times;Serif"/>
                <w:sz w:val="20"/>
              </w:rPr>
              <w:t>S-</w:t>
            </w:r>
            <w:r>
              <w:rPr/>
              <w:t>iv</w:t>
            </w:r>
          </w:p>
        </w:tc>
      </w:tr>
      <w:tr>
        <w:trPr/>
        <w:tc>
          <w:tcPr>
            <w:tcW w:w="6155" w:type="dxa"/>
            <w:tcBorders/>
            <w:shd w:fill="CCEEFF" w:val="clear"/>
            <w:vAlign w:val="center"/>
          </w:tcPr>
          <w:p>
            <w:pPr>
              <w:pStyle w:val="TableContents"/>
              <w:bidi w:val="0"/>
              <w:spacing w:before="0" w:after="283"/>
              <w:jc w:val="left"/>
              <w:rPr/>
            </w:pPr>
            <w:hyperlink w:anchor="pro_005">
              <w:r>
                <w:rPr>
                  <w:rStyle w:val="InternetLink"/>
                  <w:rFonts w:ascii="Times New Roman;Times;Serif" w:hAnsi="Times New Roman;Times;Serif"/>
                  <w:caps/>
                  <w:sz w:val="20"/>
                </w:rPr>
                <w:t>Special Note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S-v</w:t>
            </w:r>
          </w:p>
        </w:tc>
      </w:tr>
      <w:tr>
        <w:trPr/>
        <w:tc>
          <w:tcPr>
            <w:tcW w:w="6155" w:type="dxa"/>
            <w:tcBorders/>
            <w:shd w:fill="FFFFFF" w:val="clear"/>
            <w:vAlign w:val="center"/>
          </w:tcPr>
          <w:p>
            <w:pPr>
              <w:pStyle w:val="TableContents"/>
              <w:bidi w:val="0"/>
              <w:spacing w:before="0" w:after="283"/>
              <w:jc w:val="left"/>
              <w:rPr/>
            </w:pPr>
            <w:hyperlink w:anchor="pro_006">
              <w:r>
                <w:rPr>
                  <w:rStyle w:val="InternetLink"/>
                  <w:rFonts w:ascii="Times New Roman;Times;Serif" w:hAnsi="Times New Roman;Times;Serif"/>
                  <w:caps/>
                  <w:sz w:val="20"/>
                </w:rPr>
                <w:t>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r>
      <w:tr>
        <w:trPr/>
        <w:tc>
          <w:tcPr>
            <w:tcW w:w="6155" w:type="dxa"/>
            <w:tcBorders/>
            <w:shd w:fill="CCEEFF" w:val="clear"/>
            <w:vAlign w:val="center"/>
          </w:tcPr>
          <w:p>
            <w:pPr>
              <w:pStyle w:val="TableContents"/>
              <w:bidi w:val="0"/>
              <w:spacing w:before="0" w:after="283"/>
              <w:jc w:val="left"/>
              <w:rPr/>
            </w:pPr>
            <w:hyperlink w:anchor="pro_007">
              <w:r>
                <w:rPr>
                  <w:rStyle w:val="InternetLink"/>
                  <w:rFonts w:ascii="Times New Roman;Times;Serif" w:hAnsi="Times New Roman;Times;Serif"/>
                  <w:caps/>
                  <w:sz w:val="20"/>
                </w:rPr>
                <w:t>The Offering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w:t>
            </w:r>
          </w:p>
        </w:tc>
      </w:tr>
      <w:tr>
        <w:trPr/>
        <w:tc>
          <w:tcPr>
            <w:tcW w:w="6155" w:type="dxa"/>
            <w:tcBorders/>
            <w:shd w:fill="FFFFFF" w:val="clear"/>
            <w:vAlign w:val="center"/>
          </w:tcPr>
          <w:p>
            <w:pPr>
              <w:pStyle w:val="TableContents"/>
              <w:bidi w:val="0"/>
              <w:spacing w:before="0" w:after="283"/>
              <w:jc w:val="left"/>
              <w:rPr/>
            </w:pPr>
            <w:hyperlink w:anchor="pro_009">
              <w:r>
                <w:rPr>
                  <w:rStyle w:val="InternetLink"/>
                  <w:rFonts w:ascii="Times New Roman;Times;Serif" w:hAnsi="Times New Roman;Times;Serif"/>
                  <w:caps/>
                  <w:sz w:val="20"/>
                </w:rPr>
                <w:t>Risk Factors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S-6</w:t>
            </w:r>
          </w:p>
        </w:tc>
      </w:tr>
      <w:tr>
        <w:trPr/>
        <w:tc>
          <w:tcPr>
            <w:tcW w:w="6155" w:type="dxa"/>
            <w:tcBorders/>
            <w:shd w:fill="CCEEFF" w:val="clear"/>
            <w:vAlign w:val="center"/>
          </w:tcPr>
          <w:p>
            <w:pPr>
              <w:pStyle w:val="TableContents"/>
              <w:bidi w:val="0"/>
              <w:spacing w:before="0" w:after="283"/>
              <w:jc w:val="left"/>
              <w:rPr/>
            </w:pPr>
            <w:hyperlink w:anchor="pro_010">
              <w:r>
                <w:rPr>
                  <w:rStyle w:val="InternetLink"/>
                  <w:rFonts w:ascii="Times New Roman;Times;Serif" w:hAnsi="Times New Roman;Times;Serif"/>
                  <w:caps/>
                  <w:sz w:val="20"/>
                </w:rPr>
                <w:t>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S-11</w:t>
            </w:r>
          </w:p>
        </w:tc>
      </w:tr>
      <w:tr>
        <w:trPr/>
        <w:tc>
          <w:tcPr>
            <w:tcW w:w="6155" w:type="dxa"/>
            <w:tcBorders/>
            <w:shd w:fill="FFFFFF" w:val="clear"/>
            <w:vAlign w:val="center"/>
          </w:tcPr>
          <w:p>
            <w:pPr>
              <w:pStyle w:val="TableContents"/>
              <w:bidi w:val="0"/>
              <w:spacing w:before="0" w:after="283"/>
              <w:jc w:val="left"/>
              <w:rPr/>
            </w:pPr>
            <w:hyperlink w:anchor="pro_011">
              <w:r>
                <w:rPr>
                  <w:rStyle w:val="InternetLink"/>
                  <w:rFonts w:ascii="Times New Roman;Times;Serif" w:hAnsi="Times New Roman;Times;Serif"/>
                  <w:caps/>
                  <w:sz w:val="20"/>
                </w:rPr>
                <w:t>Capitalization</w:t>
              </w:r>
            </w:hyperlink>
          </w:p>
        </w:tc>
        <w:tc>
          <w:tcPr>
            <w:tcW w:w="455" w:type="dxa"/>
            <w:tcBorders/>
            <w:shd w:fill="FFFFFF" w:val="clear"/>
            <w:vAlign w:val="center"/>
          </w:tcPr>
          <w:p>
            <w:pPr>
              <w:pStyle w:val="TableContents"/>
              <w:bidi w:val="0"/>
              <w:spacing w:before="0" w:after="283"/>
              <w:jc w:val="center"/>
              <w:rPr/>
            </w:pPr>
            <w:r>
              <w:rPr>
                <w:rFonts w:ascii="Times New Roman;Times;Serif" w:hAnsi="Times New Roman;Times;Serif"/>
                <w:sz w:val="20"/>
              </w:rPr>
              <w:t>S-</w:t>
            </w:r>
            <w:r>
              <w:rPr/>
              <w:t>12</w:t>
            </w:r>
          </w:p>
        </w:tc>
      </w:tr>
      <w:tr>
        <w:trPr/>
        <w:tc>
          <w:tcPr>
            <w:tcW w:w="6155" w:type="dxa"/>
            <w:tcBorders/>
            <w:shd w:fill="CCEEFF" w:val="clear"/>
            <w:vAlign w:val="center"/>
          </w:tcPr>
          <w:p>
            <w:pPr>
              <w:pStyle w:val="TableContents"/>
              <w:bidi w:val="0"/>
              <w:spacing w:before="0" w:after="283"/>
              <w:jc w:val="left"/>
              <w:rPr/>
            </w:pPr>
            <w:hyperlink w:anchor="pro_012">
              <w:r>
                <w:rPr>
                  <w:rStyle w:val="InternetLink"/>
                  <w:rFonts w:ascii="Times New Roman;Times;Serif" w:hAnsi="Times New Roman;Times;Serif"/>
                  <w:caps/>
                  <w:sz w:val="20"/>
                </w:rPr>
                <w:t>Description of Other HEICO Indebtedness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S-13</w:t>
            </w:r>
          </w:p>
        </w:tc>
      </w:tr>
      <w:tr>
        <w:trPr/>
        <w:tc>
          <w:tcPr>
            <w:tcW w:w="6155" w:type="dxa"/>
            <w:tcBorders/>
            <w:shd w:fill="FFFFFF" w:val="clear"/>
            <w:vAlign w:val="center"/>
          </w:tcPr>
          <w:p>
            <w:pPr>
              <w:pStyle w:val="TableContents"/>
              <w:bidi w:val="0"/>
              <w:spacing w:before="0" w:after="283"/>
              <w:jc w:val="left"/>
              <w:rPr/>
            </w:pPr>
            <w:hyperlink w:anchor="pro_013">
              <w:r>
                <w:rPr>
                  <w:rStyle w:val="InternetLink"/>
                  <w:rFonts w:ascii="Times New Roman;Times;Serif" w:hAnsi="Times New Roman;Times;Serif"/>
                  <w:caps/>
                  <w:sz w:val="20"/>
                </w:rPr>
                <w:t>Description of The Notes</w:t>
              </w:r>
            </w:hyperlink>
          </w:p>
        </w:tc>
        <w:tc>
          <w:tcPr>
            <w:tcW w:w="455" w:type="dxa"/>
            <w:tcBorders/>
            <w:shd w:fill="FFFFFF" w:val="clear"/>
            <w:vAlign w:val="center"/>
          </w:tcPr>
          <w:p>
            <w:pPr>
              <w:pStyle w:val="TableContents"/>
              <w:bidi w:val="0"/>
              <w:spacing w:before="0" w:after="283"/>
              <w:jc w:val="center"/>
              <w:rPr/>
            </w:pPr>
            <w:r>
              <w:rPr>
                <w:rFonts w:ascii="Times New Roman;Times;Serif" w:hAnsi="Times New Roman;Times;Serif"/>
                <w:sz w:val="20"/>
              </w:rPr>
              <w:t>S-</w:t>
            </w:r>
            <w:r>
              <w:rPr/>
              <w:t>14</w:t>
            </w:r>
          </w:p>
        </w:tc>
      </w:tr>
      <w:tr>
        <w:trPr/>
        <w:tc>
          <w:tcPr>
            <w:tcW w:w="6155" w:type="dxa"/>
            <w:tcBorders/>
            <w:shd w:fill="CCEEFF" w:val="clear"/>
            <w:vAlign w:val="center"/>
          </w:tcPr>
          <w:p>
            <w:pPr>
              <w:pStyle w:val="TableContents"/>
              <w:bidi w:val="0"/>
              <w:spacing w:before="0" w:after="283"/>
              <w:jc w:val="left"/>
              <w:rPr/>
            </w:pPr>
            <w:hyperlink w:anchor="pro_014">
              <w:r>
                <w:rPr>
                  <w:rStyle w:val="InternetLink"/>
                  <w:rFonts w:ascii="Times New Roman;Times;Serif" w:hAnsi="Times New Roman;Times;Serif"/>
                  <w:caps/>
                  <w:sz w:val="20"/>
                </w:rPr>
                <w:t>Book-Entry; Delivery And Form</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S-32</w:t>
            </w:r>
          </w:p>
        </w:tc>
      </w:tr>
      <w:tr>
        <w:trPr/>
        <w:tc>
          <w:tcPr>
            <w:tcW w:w="6155" w:type="dxa"/>
            <w:tcBorders/>
            <w:shd w:fill="FFFFFF" w:val="clear"/>
            <w:vAlign w:val="center"/>
          </w:tcPr>
          <w:p>
            <w:pPr>
              <w:pStyle w:val="TableContents"/>
              <w:bidi w:val="0"/>
              <w:spacing w:before="0" w:after="283"/>
              <w:jc w:val="left"/>
              <w:rPr/>
            </w:pPr>
            <w:hyperlink w:anchor="pro_015">
              <w:r>
                <w:rPr>
                  <w:rStyle w:val="InternetLink"/>
                  <w:rFonts w:ascii="Times New Roman;Times;Serif" w:hAnsi="Times New Roman;Times;Serif"/>
                  <w:caps/>
                  <w:sz w:val="20"/>
                </w:rPr>
                <w:t>Certain Material U.S. Federal Income Tax Considerations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S-35</w:t>
            </w:r>
          </w:p>
        </w:tc>
      </w:tr>
      <w:tr>
        <w:trPr/>
        <w:tc>
          <w:tcPr>
            <w:tcW w:w="6155" w:type="dxa"/>
            <w:tcBorders/>
            <w:shd w:fill="CCEEFF" w:val="clear"/>
            <w:vAlign w:val="center"/>
          </w:tcPr>
          <w:p>
            <w:pPr>
              <w:pStyle w:val="TableContents"/>
              <w:bidi w:val="0"/>
              <w:spacing w:before="0" w:after="283"/>
              <w:jc w:val="left"/>
              <w:rPr/>
            </w:pPr>
            <w:hyperlink w:anchor="pro_016">
              <w:r>
                <w:rPr>
                  <w:rStyle w:val="InternetLink"/>
                  <w:rFonts w:ascii="Times New Roman;Times;Serif" w:hAnsi="Times New Roman;Times;Serif"/>
                  <w:caps/>
                  <w:sz w:val="20"/>
                </w:rPr>
                <w:t>Underwriting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S-39</w:t>
            </w:r>
          </w:p>
        </w:tc>
      </w:tr>
      <w:tr>
        <w:trPr/>
        <w:tc>
          <w:tcPr>
            <w:tcW w:w="6155" w:type="dxa"/>
            <w:tcBorders/>
            <w:shd w:fill="FFFFFF" w:val="clear"/>
            <w:vAlign w:val="center"/>
          </w:tcPr>
          <w:p>
            <w:pPr>
              <w:pStyle w:val="TableContents"/>
              <w:bidi w:val="0"/>
              <w:spacing w:before="0" w:after="283"/>
              <w:jc w:val="left"/>
              <w:rPr/>
            </w:pPr>
            <w:hyperlink w:anchor="pro_017">
              <w:r>
                <w:rPr>
                  <w:rStyle w:val="InternetLink"/>
                  <w:rFonts w:ascii="Times New Roman;Times;Serif" w:hAnsi="Times New Roman;Times;Serif"/>
                  <w:caps/>
                  <w:sz w:val="20"/>
                </w:rPr>
                <w:t>Legal Matters</w:t>
              </w:r>
            </w:hyperlink>
          </w:p>
        </w:tc>
        <w:tc>
          <w:tcPr>
            <w:tcW w:w="455" w:type="dxa"/>
            <w:tcBorders/>
            <w:shd w:fill="FFFFFF" w:val="clear"/>
            <w:vAlign w:val="center"/>
          </w:tcPr>
          <w:p>
            <w:pPr>
              <w:pStyle w:val="TableContents"/>
              <w:bidi w:val="0"/>
              <w:spacing w:before="0" w:after="283"/>
              <w:jc w:val="center"/>
              <w:rPr/>
            </w:pPr>
            <w:r>
              <w:rPr>
                <w:rFonts w:ascii="Times New Roman;Times;Serif" w:hAnsi="Times New Roman;Times;Serif"/>
                <w:sz w:val="20"/>
              </w:rPr>
              <w:t>S-</w:t>
            </w:r>
            <w:r>
              <w:rPr/>
              <w:t>44</w:t>
            </w:r>
          </w:p>
        </w:tc>
      </w:tr>
      <w:tr>
        <w:trPr/>
        <w:tc>
          <w:tcPr>
            <w:tcW w:w="6155" w:type="dxa"/>
            <w:tcBorders/>
            <w:shd w:fill="CCEEFF" w:val="clear"/>
            <w:vAlign w:val="center"/>
          </w:tcPr>
          <w:p>
            <w:pPr>
              <w:pStyle w:val="TableContents"/>
              <w:bidi w:val="0"/>
              <w:spacing w:before="0" w:after="283"/>
              <w:jc w:val="left"/>
              <w:rPr/>
            </w:pPr>
            <w:hyperlink w:anchor="pro_018">
              <w:r>
                <w:rPr>
                  <w:rStyle w:val="InternetLink"/>
                  <w:rFonts w:ascii="Times New Roman;Times;Serif" w:hAnsi="Times New Roman;Times;Serif"/>
                  <w:caps/>
                  <w:sz w:val="20"/>
                </w:rPr>
                <w:t>Experts</w:t>
              </w:r>
            </w:hyperlink>
          </w:p>
        </w:tc>
        <w:tc>
          <w:tcPr>
            <w:tcW w:w="455" w:type="dxa"/>
            <w:tcBorders/>
            <w:shd w:fill="CCEEFF" w:val="clear"/>
            <w:vAlign w:val="center"/>
          </w:tcPr>
          <w:p>
            <w:pPr>
              <w:pStyle w:val="TableContents"/>
              <w:bidi w:val="0"/>
              <w:spacing w:before="0" w:after="283"/>
              <w:jc w:val="center"/>
              <w:rPr/>
            </w:pPr>
            <w:r>
              <w:rPr>
                <w:rFonts w:ascii="Times New Roman;Times;Serif" w:hAnsi="Times New Roman;Times;Serif"/>
                <w:sz w:val="20"/>
              </w:rPr>
              <w:t>S-</w:t>
            </w:r>
            <w:r>
              <w:rPr/>
              <w:t>44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Prospectus</w:t>
      </w:r>
    </w:p>
    <w:p>
      <w:pPr>
        <w:pStyle w:val="TextBody"/>
        <w:bidi w:val="0"/>
        <w:spacing w:before="0" w:after="0"/>
        <w:ind w:left="0" w:right="0" w:hanging="0"/>
        <w:jc w:val="center"/>
        <w:rPr>
          <w:caps/>
        </w:rPr>
      </w:pPr>
      <w:r>
        <w:rPr>
          <w:caps/>
        </w:rPr>
        <w:t> </w:t>
      </w:r>
    </w:p>
    <w:tbl>
      <w:tblPr>
        <w:tblW w:w="6010" w:type="dxa"/>
        <w:jc w:val="left"/>
        <w:tblInd w:w="0" w:type="dxa"/>
        <w:tblLayout w:type="fixed"/>
        <w:tblCellMar>
          <w:top w:w="0" w:type="dxa"/>
          <w:left w:w="0" w:type="dxa"/>
          <w:bottom w:w="0" w:type="dxa"/>
          <w:right w:w="0" w:type="dxa"/>
        </w:tblCellMar>
      </w:tblPr>
      <w:tblGrid>
        <w:gridCol w:w="5765"/>
        <w:gridCol w:w="245"/>
      </w:tblGrid>
      <w:tr>
        <w:trPr/>
        <w:tc>
          <w:tcPr>
            <w:tcW w:w="576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576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PROSPECTUS SUMMARY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576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RISK FACTORS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576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SPECIAL NOTE REGARDING FORWARD-LOOKING STATEMENTS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576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USE OF PROCEEDS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576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SELLING SHAREHOLDERS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576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DESCRIPTION OF OUR CAPITAL STOCK</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576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DEBT SECURITIES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576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DESCRIPTION OF DEPOSITARY SHARES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576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WARRANTS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576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UNITS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576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PLAN OF DISTRIBUTION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576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GENERAL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576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LEGAL MATTERS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76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EXPERTS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76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WHERE YOU CAN FIND ADDITIONAL INFORMATION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76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INCORPORATION OF CERTAIN DOCUMENTS BY REFERENCE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 w:name="pro_001"/>
      <w:bookmarkEnd w:id="2"/>
      <w:r>
        <w:rPr>
          <w:rFonts w:ascii="Times New Roman;Times;Serif" w:hAnsi="Times New Roman;Times;Serif"/>
          <w:b/>
          <w:i w:val="false"/>
          <w:caps/>
          <w:sz w:val="20"/>
        </w:rPr>
        <w:t>About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information to you about this offering in two separate documents. The first part is this prospectus supplement, which describes the specific terms of this offering of notes. The second part is the accompanying prospectus, which gives more general information, some of which may not apply to this offering of notes. This prospectus supplement may add to, update or change the information in the accompanying prospectus. If information in this prospectus supplement is inconsistent with information in the accompanying prospectus, this prospectus supplement will apply and will supersede that information in the accompanying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relate to part of a registration statement that we filed with the Securities and Exchange Commission (the “SEC”), using a shelf registration process. Both this prospectus supplement and the accompanying prospectus include or incorporate by reference important information about us and other information you should know before investing in the notes. You should read both this prospectus supplement and the accompanying prospectus as well as additional information described under “Where You Can Find Additional Information” and “Incorporation of Certain Documents by Reference” in this prospectus supplement before making an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supplement, the accompanying prospectus and any related free writing prospectus. Neither we nor the underwriters have authorized any other person to provide you with different or additional information other than that contained in or incorporated by reference in this prospectus supplement and the accompanying prospectus and in any free writing prospectus filed by the Company with the SEC. You should assume that the information appearing in this prospectus supplement, the accompanying prospectus and any related free writing prospectus, and the documents incorporated and deemed to be incorporated by reference herein and therein, are accurate only as of the respective dates of those documents. Our business, financial condition, results of operations and prospects may have changed since those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unless the context requires otherwise (including when describing the terms of the notes), references in this prospectus supplement to “HEICO,” the “Company,” “we,” “us” and “our” or similar terms are to HEICO Corporation and its consolidated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 w:name="pro_002"/>
      <w:bookmarkEnd w:id="3"/>
      <w:r>
        <w:rPr>
          <w:rFonts w:ascii="Times New Roman;Times;Serif" w:hAnsi="Times New Roman;Times;Serif"/>
          <w:b/>
          <w:i w:val="false"/>
          <w:caps/>
          <w:sz w:val="20"/>
        </w:rPr>
        <w:t>Where You Can Find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Our SEC filings are available at the website maintained by the SEC at www.sec.gov or on HEICO’s website at www.heico.com. We make available free of charge through our website our Annual Reports on Form 10-K, Quarterly Reports on Form 10-Q, Current Reports on Form 8-K and amendments to those reports filed or furnished pursuant to Section 13(a) or 15(d) of the Securities Exchange Act of 1934, as amended (the “Exchange Act”) as soon as reasonably practicable after we electronically file such material with, or furnish it to, the SEC. The information contained on, connected to or that can be accessed via our website is not part of this prospectus supplement or the accompanying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regarding the securities we may offer from time to time. This prospectus supplement does not contain all of the information found in the registration statement. For further information regarding HEICO and the securities offered by this prospectus supplement, you should review the entire registration statement, including its exhibits and schedules, filed under the Securities Act of 1933, as amended (the “Securities Act”). The registration statement of which this prospectus supplement forms a part, including its exhibits and schedules, has been filed electronically and can be obtained in any manner listed above.</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S-iii</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 w:name="pro_003"/>
      <w:bookmarkEnd w:id="4"/>
      <w:r>
        <w:rPr>
          <w:rFonts w:ascii="Times New Roman;Times;Serif" w:hAnsi="Times New Roman;Times;Serif"/>
          <w:b/>
          <w:i w:val="false"/>
          <w:caps/>
          <w:sz w:val="20"/>
        </w:rPr>
        <w:t>Extended 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delivery of the notes will be made against payment therefor on or about July 16, 2026, which will be the third business day following the date of pricing of the notes, or “T+3.” Under Rule 15c6-1 of the Exchange Act, trades in the secondary market generally are required to settle in one business day, unless the parties to any such trade expressly agree otherwise. Accordingly, purchasers who wish to trade notes before the business day prior to the delivery date, by virtue of the fact that the notes initially settle in T+3, to specify an alternate settlement arrangement at the time of any such trade to prevent a failed settlement. Purchasers of the notes who wish to trade the notes before the business day prior to their date of delivery hereunder should consult their advisors.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5" w:name="pro_004"/>
      <w:bookmarkEnd w:id="5"/>
      <w:r>
        <w:rPr>
          <w:rFonts w:ascii="Times New Roman;Times;Serif" w:hAnsi="Times New Roman;Times;Serif"/>
          <w:b/>
          <w:i w:val="false"/>
          <w:caps/>
          <w:sz w:val="20"/>
        </w:rPr>
        <w:t>Incorporation of Certain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provide information about our business and other important information to you by “incorporating by reference” the information we file with the SEC, which means that we can disclose the information to you by referring in this prospectus supplement to the documents we file with the SEC. Under the SEC’s regulations, any statement contained in a document incorporated by reference in this prospectus supplement is automatically updated and superseded by any information contained in this prospectus supplement, or in any subsequently filed document of the types described below. However, we are not incorporating by reference any information provided in these documents that is furnished under applicable SEC rules rather than filed and exhibits furnished in connection with such items, including any information furnished pursuant to Item 2.02 or Item 7.01 of our Current Reports on Form 8-K or Form 8-K/A after the date of this prospectus supplement unless, and except to the extent, specified in such Current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into this prospectus supplement by reference the following documents filed by us with the SEC, each of which should be considered an important part of this prospectus supplement:</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Annual Report on </w:t>
            </w:r>
            <w:hyperlink r:id="rId3">
              <w:r>
                <w:rPr>
                  <w:rStyle w:val="InternetLink"/>
                  <w:rFonts w:ascii="Times New Roman;Times;Serif" w:hAnsi="Times New Roman;Times;Serif"/>
                  <w:sz w:val="20"/>
                </w:rPr>
                <w:t>Form 10-K</w:t>
              </w:r>
            </w:hyperlink>
            <w:r>
              <w:rPr>
                <w:rFonts w:ascii="Times New Roman;Times;Serif" w:hAnsi="Times New Roman;Times;Serif"/>
                <w:sz w:val="20"/>
              </w:rPr>
              <w:t xml:space="preserve"> for the fiscal year ended October 31, 2025, filed with the SEC on December 22, 2025, including portions of the Company’s proxy statement on </w:t>
            </w:r>
            <w:hyperlink r:id="rId4">
              <w:r>
                <w:rPr>
                  <w:rStyle w:val="InternetLink"/>
                  <w:rFonts w:ascii="Times New Roman;Times;Serif" w:hAnsi="Times New Roman;Times;Serif"/>
                  <w:sz w:val="20"/>
                </w:rPr>
                <w:t>Schedule 14A</w:t>
              </w:r>
            </w:hyperlink>
            <w:r>
              <w:rPr>
                <w:rFonts w:ascii="Times New Roman;Times;Serif" w:hAnsi="Times New Roman;Times;Serif"/>
                <w:sz w:val="20"/>
              </w:rPr>
              <w:t>, filed with the SEC on January 30, 2026, to the extent incorporated by reference into such Annual Report on Form 10-K;</w:t>
            </w:r>
          </w:p>
        </w:tc>
      </w:tr>
    </w:tbl>
    <w:p>
      <w:pPr>
        <w:pStyle w:val="TextBody"/>
        <w:bidi w:val="0"/>
        <w:spacing w:before="0" w:after="0"/>
        <w:ind w:left="1440" w:right="0" w:hanging="720"/>
        <w:jc w:val="both"/>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pPr>
            <w:r>
              <w:rPr>
                <w:rFonts w:ascii="Times New Roman;Times;Serif" w:hAnsi="Times New Roman;Times;Serif"/>
                <w:sz w:val="20"/>
              </w:rPr>
              <w:t xml:space="preserve">Our Quarterly Report on </w:t>
            </w:r>
            <w:hyperlink r:id="rId5">
              <w:r>
                <w:rPr>
                  <w:rStyle w:val="InternetLink"/>
                  <w:rFonts w:ascii="Times New Roman;Times;Serif" w:hAnsi="Times New Roman;Times;Serif"/>
                  <w:sz w:val="20"/>
                </w:rPr>
                <w:t>Form 10-Q</w:t>
              </w:r>
            </w:hyperlink>
            <w:r>
              <w:rPr>
                <w:rFonts w:ascii="Times New Roman;Times;Serif" w:hAnsi="Times New Roman;Times;Serif"/>
                <w:sz w:val="20"/>
              </w:rPr>
              <w:t xml:space="preserve"> for the quarter ended January 31, 2026, filed with the SEC on February 27, 2026;</w:t>
            </w:r>
          </w:p>
        </w:tc>
      </w:tr>
    </w:tbl>
    <w:p>
      <w:pPr>
        <w:pStyle w:val="TextBody"/>
        <w:bidi w:val="0"/>
        <w:spacing w:before="0" w:after="0"/>
        <w:ind w:left="1440" w:right="0" w:hanging="72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75"/>
        <w:gridCol w:w="170"/>
        <w:gridCol w:w="9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pPr>
            <w:r>
              <w:rPr>
                <w:rFonts w:ascii="Times New Roman;Times;Serif" w:hAnsi="Times New Roman;Times;Serif"/>
                <w:sz w:val="20"/>
              </w:rPr>
              <w:t xml:space="preserve">Our Quarterly Report on </w:t>
            </w:r>
            <w:hyperlink r:id="rId6">
              <w:r>
                <w:rPr>
                  <w:rStyle w:val="InternetLink"/>
                  <w:rFonts w:ascii="Times New Roman;Times;Serif" w:hAnsi="Times New Roman;Times;Serif"/>
                  <w:sz w:val="20"/>
                </w:rPr>
                <w:t>Form 10-Q</w:t>
              </w:r>
            </w:hyperlink>
            <w:r>
              <w:rPr>
                <w:rFonts w:ascii="Times New Roman;Times;Serif" w:hAnsi="Times New Roman;Times;Serif"/>
                <w:sz w:val="20"/>
              </w:rPr>
              <w:t xml:space="preserve"> for the quarter ended April 30, 2026, filed with the SEC on May 29, 2026; and</w:t>
            </w:r>
          </w:p>
        </w:tc>
      </w:tr>
    </w:tbl>
    <w:p>
      <w:pPr>
        <w:pStyle w:val="TextBody"/>
        <w:bidi w:val="0"/>
        <w:spacing w:before="0" w:after="0"/>
        <w:ind w:left="1440" w:right="0" w:hanging="720"/>
        <w:jc w:val="both"/>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75"/>
        <w:gridCol w:w="170"/>
        <w:gridCol w:w="9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both"/>
              <w:rPr/>
            </w:pPr>
            <w:r>
              <w:rPr>
                <w:rFonts w:ascii="Times New Roman;Times;Serif" w:hAnsi="Times New Roman;Times;Serif"/>
                <w:sz w:val="20"/>
              </w:rPr>
              <w:t xml:space="preserve">The Current Reports on Form 8-K filed with the SEC on </w:t>
            </w:r>
            <w:hyperlink r:id="rId7">
              <w:r>
                <w:rPr>
                  <w:rStyle w:val="InternetLink"/>
                  <w:rFonts w:ascii="Times New Roman;Times;Serif" w:hAnsi="Times New Roman;Times;Serif"/>
                  <w:sz w:val="20"/>
                </w:rPr>
                <w:t>December 22, 2025</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March 17, 2026</w:t>
              </w:r>
            </w:hyperlink>
            <w:r>
              <w:rPr>
                <w:rFonts w:ascii="Times New Roman;Times;Serif" w:hAnsi="Times New Roman;Times;Serif"/>
                <w:sz w:val="20"/>
              </w:rPr>
              <w:t xml:space="preserve">, and </w:t>
            </w:r>
            <w:hyperlink r:id="rId9">
              <w:r>
                <w:rPr>
                  <w:rStyle w:val="InternetLink"/>
                  <w:rFonts w:ascii="Times New Roman;Times;Serif" w:hAnsi="Times New Roman;Times;Serif"/>
                  <w:sz w:val="20"/>
                </w:rPr>
                <w:t>June 17, 2026</w:t>
              </w:r>
            </w:hyperlink>
            <w:r>
              <w:rPr>
                <w:rFonts w:ascii="Times New Roman;Times;Serif" w:hAnsi="Times New Roman;Times;Serif"/>
                <w:sz w:val="20"/>
              </w:rPr>
              <w:t xml:space="preserve">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subsequently filed by us pursuant to Sections 13(a), 13(c), 14 and 15(d) of the Exchange Act, prior to termination of this offering shall be deemed to be incorporated by reference into this prospectus supplement and to be a part hereof from the date of filing of such documents. Any statement in a document incorporated or deemed to be incorporated by reference herein shall be deemed to be modified or superseded for the purposes of this prospectus supplement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you, upon request, a copy of each of our filings at no cost. Please make your request by writing or telephoning us at the following address or telephone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w:t>
        <w:br/>
        <w:t>3000 Taft Street</w:t>
        <w:br/>
        <w:t>Hollywood, Florida 33021</w:t>
        <w:br/>
        <w:t>Tel: (954) 987-4000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supplement or any subsequently filed supplement. We have not authorized anyone else to provide you with different information. You should not assume that the information in this prospectus supplement or any subsequently filed supplement is accurate as of any date other than the date on the front of those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S-iv</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6" w:name="pro_005"/>
      <w:bookmarkEnd w:id="6"/>
      <w:r>
        <w:rPr>
          <w:rFonts w:ascii="Times New Roman;Times;Serif" w:hAnsi="Times New Roman;Times;Serif"/>
          <w:b/>
          <w:i w:val="false"/>
          <w:caps/>
          <w:sz w:val="20"/>
        </w:rPr>
        <w:t>Special Note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documents incorporated by reference in this prospectus supplement contain “forward-looking statements” within the meaning of Section 27A of the Securities Act and Section 21E of the Exchange Act. These statements, which in some cases, you can identify by terms such as “may,” “will,” “should,” “could,” “would,” “expects,” “plans,” “anticipates,” “believes,” “estimates,” “projects,” “predicts,” “potential” and similar expressions intended to identify forward-looking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These statements include statements regarding our operations, cash flows, and financial position. These statements reflect our current views with respect to future events and are based on assumptions and subject to risks and uncertainties.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these statements are based upon reasonable assumptions, these statements expressing opinions about future outcomes and non-historical information are subject to a number of risks and uncertainties, many of which are beyond our control, and reflect future business decisions that are subject to change and, therefore, there is no assurance that the outcomes expressed in these statements will be achieved. Some of the assumptions, future results and levels of performance expressed or implied in the forward-looking statements we have made or may make in the future may not materialize, and unanticipated events may occur which will affect our results. Investors are cautioned that forward-looking statements are not guarantees of future performance and actual results or developments may differ materially from the expectations expressed in forward-looking statements contained herein, including as a result of factors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severity, magnitude and duration of public health threats;</w:t>
            </w:r>
          </w:p>
        </w:tc>
      </w:tr>
    </w:tbl>
    <w:p>
      <w:pPr>
        <w:pStyle w:val="TextBody"/>
        <w:bidi w:val="0"/>
        <w:spacing w:before="0" w:after="0"/>
        <w:ind w:left="1440" w:right="0" w:hanging="36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liquidity and the amount and timing of cash generation;</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Lower commercial air travel, airline fleet changes or airline purchasing decisions, which could cause lower demand for our goods and services;</w:t>
            </w:r>
          </w:p>
        </w:tc>
      </w:tr>
    </w:tbl>
    <w:p>
      <w:pPr>
        <w:pStyle w:val="TextBody"/>
        <w:bidi w:val="0"/>
        <w:spacing w:before="0" w:after="0"/>
        <w:ind w:left="1440" w:right="0" w:hanging="36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 specification costs and requirements, which could cause an increase in our costs to complete contracts;</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Governmental and regulatory demands, export policies and restrictions, reductions in defense, space or homeland security spending by U.S. and/or foreign customers or competition from existing and new competitors, which could reduce our sales;</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introduce new products and services at profitable pricing levels, which could reduce our sales or sales growth;</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 development or manufacturing difficulties, which could increase our product development and manufacturing costs and delay sales;</w:t>
            </w:r>
          </w:p>
        </w:tc>
      </w:tr>
    </w:tbl>
    <w:p>
      <w:pPr>
        <w:pStyle w:val="TextBody"/>
        <w:bidi w:val="0"/>
        <w:spacing w:before="0" w:after="0"/>
        <w:ind w:left="1440" w:right="0" w:hanging="36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Cybersecurity events or other disruptions of our information technology systems could adversely affect our business; and</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make acquisitions, including obtaining any applicable domestic and/or foreign governmental approvals, and achieve operating synergies from acquired businesses; customer credit risk; interest, foreign currency exchange and income tax rates; and economic conditions, including the effects of inflation, within and outside of the aviation, defense, space, medical, telecommunications and electronics industries, which could negatively impact our costs and revenues.</w:t>
            </w:r>
          </w:p>
        </w:tc>
      </w:tr>
    </w:tbl>
    <w:p>
      <w:pPr>
        <w:pStyle w:val="TextBody"/>
        <w:bidi w:val="0"/>
        <w:spacing w:before="0" w:after="0"/>
        <w:ind w:left="144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these uncertainties, you should not place undue reliance on these forward-looking statements. We discuss many of these risks and uncertainties in greater detail under “Risk Factors” discussed under the caption “Item 1A. Risk Factors” in Part I of our most recent Annual Report on Form 10-K, together with all of the other information appearing in or incorporated by reference into this prospectus supplement and the accompanying prospectus. You should read this prospectus supplement completely and with the understanding that our actual future results may be materially different from what we expect. We qualify all of the forward-looking statements in this prospectus supplement by these cautionary statements. We undertake no obligation to publicly update any forward-looking statement, whether as a result of new information, future events or otherwise, except as may be required under the securities laws of the United States. You are advised, however, to consult any additional disclosures we make in our reports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S-v</w:t>
      </w:r>
    </w:p>
    <w:p>
      <w:pPr>
        <w:pStyle w:val="TextBody"/>
        <w:bidi w:val="0"/>
        <w:spacing w:before="0" w:after="0"/>
        <w:ind w:left="0" w:right="0" w:hanging="0"/>
        <w:jc w:val="left"/>
        <w:rPr/>
      </w:pPr>
      <w:r>
        <w:rPr/>
        <w:t> </w:t>
      </w:r>
    </w:p>
    <w:p>
      <w:pPr>
        <w:pStyle w:val="TextBody"/>
        <w:bidi w:val="0"/>
        <w:spacing w:before="0" w:after="0"/>
        <w:ind w:left="0" w:right="0" w:hanging="0"/>
        <w:jc w:val="left"/>
        <w:rPr>
          <w:caps/>
          <w:bdr w:val="single" w:sz="12" w:space="1" w:color="000000"/>
        </w:rPr>
      </w:pPr>
      <w:r>
        <w:rPr>
          <w:caps/>
          <w:bdr w:val="single" w:sz="12" w:space="1" w:color="000000"/>
        </w:rPr>
        <w:t> </w:t>
      </w:r>
    </w:p>
    <w:p>
      <w:pPr>
        <w:pStyle w:val="TextBody"/>
        <w:bidi w:val="0"/>
        <w:spacing w:before="0" w:after="0"/>
        <w:jc w:val="center"/>
        <w:rPr>
          <w:rFonts w:ascii="Times New Roman;Times;Serif" w:hAnsi="Times New Roman;Times;Serif"/>
          <w:b/>
          <w:i w:val="false"/>
          <w:caps/>
          <w:sz w:val="20"/>
          <w:bdr w:val="single" w:sz="12" w:space="1" w:color="000000"/>
        </w:rPr>
      </w:pPr>
      <w:bookmarkStart w:id="7" w:name="pro_006"/>
      <w:bookmarkEnd w:id="7"/>
      <w:r>
        <w:rPr>
          <w:rFonts w:ascii="Times New Roman;Times;Serif" w:hAnsi="Times New Roman;Times;Serif"/>
          <w:b/>
          <w:i w:val="false"/>
          <w:caps/>
          <w:sz w:val="20"/>
          <w:bdr w:val="single" w:sz="12" w:space="1" w:color="000000"/>
        </w:rPr>
        <w:t>Summary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The following summary highlights information contained in or incorporated by reference into this prospectus supplement and the accompanying prospectus. This summary does not contain all of the information you should consider before investing in the notes. You should carefully read this entire prospectus supplement, as well as the accompanying prospectus and the documents incorporated by reference herein that are described under “Where You Can Find Additional Information” and “Incorporation of Certain Documents by Reference.”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Company Overview</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HEICO Corporation through its subsidiaries believes it is the world’s largest manufacturer of Federal Aviation Administration (“FAA”)-approved jet engine and aircraft component replacement parts, other than the original equipment manufacturers (“OEMs”) and their subcontractors. HEICO also believes it is a leading manufacturer of various types of electronic equipment for the aviation, defense, space, medical, telecommunications and electronics industries.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was originally organized in 1957 as a holding company known as HEICO Corporation. As part of a reorganization completed in 1993, the original holding company (formerly known as HEICO Corporation) was renamed as HEICO Aerospace Corporation and a new holding corporation known as HEICO Corporation was created. The reorganization did not result in any change in the business of the Company, its consolidated assets or liabilities or the relative interests of its shareholders.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business is comprised of two operating segments: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The Flight Support Group</w:t>
      </w:r>
      <w:r>
        <w:rPr>
          <w:rFonts w:ascii="Times New Roman;Times;Serif" w:hAnsi="Times New Roman;Times;Serif"/>
          <w:b w:val="false"/>
          <w:i w:val="false"/>
          <w:caps w:val="false"/>
          <w:smallCaps w:val="false"/>
          <w:sz w:val="20"/>
          <w:bdr w:val="single" w:sz="12" w:space="1" w:color="000000"/>
        </w:rPr>
        <w:t>. Our Flight Support Group (“FSG”), consisting of HEICO Aerospace Holdings Corp. and HEICO Flight Support Corp. and their collective subsidiaries, accounted for 70%, 68% and 60% of our net sales in fiscal 2025, 2024 and 2023, respectively. The FSG uses proprietary technology to design and manufacture jet engine and aircraft component replacement parts for sale at lower prices than those manufactured by OEMs. These parts are approved by the FAA and are the functional equivalent of parts sold by OEMs. In addition, the FSG repairs, overhauls and distributes jet engine and aircraft components, avionics and instruments for domestic and foreign commercial air carriers and aircraft repair companies as well as military and business aircraft operators. The FSG also manufactures and sells specialty parts as a subcontractor for aerospace and industrial original equipment manufacturers and the United States (“U.S.”) government. Additionally, the FSG is a leading supplier, distributor, and integrator of military aircraft parts and support services primarily to the U.S. Department of Defense, defense prime contractors, and foreign military organizations allied with the U.S. Further, the FSG is a leading manufacturer of advanced niche components and complex composite assemblies for commercial aviation, defense and space applications. The FSG also engineers, designs and manufactures thermal insulation blankets and parts as well as removable/reusable insulation systems for aerospace, defense, commercial and industrial applications; manufactures expanded foil mesh for lightning strike protection in fixed and rotary wing aircraft; distributes aviation electrical interconnect products and electromechanical parts; overhauls industrial pumps, motors, and other hydraulic units with a focus on the support of legacy systems for the U.S. Navy; performs tight-tolerance machining, brazing, fabricating and welding services for aerospace, defense and other industrial applications; and manufactures emergency descent devices (“EDDs”) and personnel and cargo parachute products.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The Electronic Technologies Group</w:t>
      </w:r>
      <w:r>
        <w:rPr>
          <w:rFonts w:ascii="Times New Roman;Times;Serif" w:hAnsi="Times New Roman;Times;Serif"/>
          <w:b w:val="false"/>
          <w:i w:val="false"/>
          <w:caps w:val="false"/>
          <w:smallCaps w:val="false"/>
          <w:sz w:val="20"/>
          <w:bdr w:val="single" w:sz="12" w:space="1" w:color="000000"/>
        </w:rPr>
        <w:t>. Our Electronic Technologies Group (“ETG”), consisting of HEICO Electronic Technologies Corp. and its subsidiaries, accounted for 30%, 32% and 40% of our net sales in fiscal 2025, 2024 and 2023, respectively. The ETG derived approximately 51%, 51% and 49% of its net sales in fiscal 2025, 2024 and 2023, respectively, from the sale of products and services to U.S. and foreign military agencies, prime defense contractors and both commercial and defense satellite and spacecraft manufacturers. The ETG collectively designs, manufactures and sells various types of electronic, data and microwave, and electro-optical products, including infrared simulation and test equipment, laser rangefinder receivers, electrical power supplies, back-up power supplies, power conversion products, underwater locator beacons, emergency locator transmission beacons, flight deck annunciators, panels, indicators, electromagnetic and radio frequency interference shielding and filters, high power capacitor charging power supplies, amplifiers, traveling wave tube amplifiers, photodetectors, amplifier modules, microwave power modules, flash lamp drivers, laser diode drivers, arc lamp power supplies, custom power supply designs, cable assemblies, high voltage power supplies, high voltage interconnection devices and wire, high voltage energy generators, high frequency power delivery systems; memory products, including three-dimensional microelectronic and stacked memory, static random-access memory (SRAM), and electronically erasable programmable read-only memory (EEPROM); harsh environment electronic connectors and other interconnect products, radio frequency (“RF”) and microwave amplifiers, transmitters, and receivers and integrated assemblies, sub-assemblies and components; RF sources, detectors and controllers, wireless cabin control systems, solid state power distribution and management systems, proprietary in-cabin power and entertainment components and subsystems, cockpit displays and other avionics components, crashworthy and ballistically self-sealing auxiliary fuel systems, nuclear radiation detectors, communications and electronic intercept receivers and tuners, fuel level sensing systems, high-speed interface products that link devices, high performance active antenna systems and airborne antennas for commercial and military aircraft, precision guided munitions, other defense applications and commercial uses; silicone material for a variety of demanding applications; precision power analog monolithic, hybrid and open frame components; high-reliability ceramic-to-metal feedthroughs and connectors, technical surveillance countermeasures (TSCM) equipment to detect devices used for espionage and information theft; rugged small-form factor embedded computing solutions; custom high power filters and filter assemblies; test sockets and adapters for both engineering and production use of semiconductor devices; radiation assurance services and products; and high reliability (“Hi-Rel”), complex, passive electronic components and rotary joint assemblies for mostly aerospace and defense applications, in addition to other high-end applications, such as medical and energy uses, including emerging “clean energy” and electrification applications.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HEICO has continuously operated in the aerospace industry for over 65 years. Since assuming control in 1990, our current management has achieved significant sales and profit growth through a broadened line of product offerings, an expanded customer base, increased research and development expenditures and the completion of many acquisitions. As a result of internal growth and acquisitions, our net sales from continuing operations have grown from $26.2 million in fiscal 1990 to $4,485.0 million in fiscal 2025, representing a compound annual growth rate of approximately 16%. During the same period, we improved our net income from $2.0 million to $690.4 million, representing a compound annual growth rate of approximately 18%.</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Acquisitions have been an important element of our growth strategy over the past thirty-six years, supplementing our organic growth. Since 1990, we have completed approximately 113 acquisitions complementing the niche segments of the aviation, defense, space, medical, telecommunications and electronics industries in which we operate. We typically target acquisition opportunities that allow us to broaden our product offerings, services and technologies while expanding our customer base and geographic presence. Even though we have historically pursued an active acquisition policy, our disciplined acquisition strategy involves limiting acquisition candidates to businesses that we believe will continue to grow, offer strong cash flow and earnings potential, and are available at fair prices.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HEICO’s corporate headquarters is located at 3000 Taft Street, Hollywood, Florida 33021. Our telephone number is (954) 987-4000 and our Internet website address is </w:t>
      </w:r>
      <w:r>
        <w:rPr>
          <w:rFonts w:ascii="Times New Roman;Times;Serif" w:hAnsi="Times New Roman;Times;Serif"/>
          <w:b w:val="false"/>
          <w:i/>
          <w:caps w:val="false"/>
          <w:smallCaps w:val="false"/>
          <w:sz w:val="20"/>
          <w:bdr w:val="single" w:sz="12" w:space="1" w:color="000000"/>
        </w:rPr>
        <w:t>www.heico.com</w:t>
      </w:r>
      <w:r>
        <w:rPr>
          <w:rFonts w:ascii="Times New Roman;Times;Serif" w:hAnsi="Times New Roman;Times;Serif"/>
          <w:b w:val="false"/>
          <w:i w:val="false"/>
          <w:caps w:val="false"/>
          <w:smallCaps w:val="false"/>
          <w:sz w:val="20"/>
          <w:bdr w:val="single" w:sz="12" w:space="1" w:color="000000"/>
        </w:rPr>
        <w:t>. The information on our website is not a part of, or incorporated in, this prospectus supplement or the accompanying prospectus.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left"/>
        <w:rPr>
          <w:caps/>
          <w:bdr w:val="single" w:sz="12" w:space="1" w:color="000000"/>
        </w:rPr>
      </w:pPr>
      <w:r>
        <w:rPr>
          <w:caps/>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8" w:name="pro_007"/>
      <w:bookmarkEnd w:id="8"/>
      <w:r>
        <w:rPr>
          <w:rFonts w:ascii="Times New Roman;Times;Serif" w:hAnsi="Times New Roman;Times;Serif"/>
          <w:b/>
          <w:i w:val="false"/>
          <w:caps/>
          <w:sz w:val="20"/>
          <w:bdr w:val="single" w:sz="12" w:space="1" w:color="000000"/>
        </w:rPr>
        <w:t>The Offering</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following summary contains certain material information about the notes and is not intended to be complete. It does not contain all the information that is important to you. For a more complete understanding of the notes, please refer to the section entitled “Description of the Notes” in this prospectus supplement and the section titled “Description of Debt Securities” in the accompanying prospectus.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122"/>
        <w:gridCol w:w="9083"/>
      </w:tblGrid>
      <w:tr>
        <w:trPr/>
        <w:tc>
          <w:tcPr>
            <w:tcW w:w="112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Issuer</w:t>
            </w:r>
          </w:p>
        </w:tc>
        <w:tc>
          <w:tcPr>
            <w:tcW w:w="90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HEICO Corporation, a Florida corporation.</w:t>
            </w:r>
          </w:p>
        </w:tc>
      </w:tr>
      <w:tr>
        <w:trPr/>
        <w:tc>
          <w:tcPr>
            <w:tcW w:w="1122" w:type="dxa"/>
            <w:tcBorders/>
            <w:vAlign w:val="center"/>
          </w:tcPr>
          <w:p>
            <w:pPr>
              <w:pStyle w:val="TableContents"/>
              <w:bidi w:val="0"/>
              <w:spacing w:before="0" w:after="283"/>
              <w:jc w:val="both"/>
              <w:rPr/>
            </w:pPr>
            <w:r>
              <w:rPr/>
              <w:t> </w:t>
            </w:r>
          </w:p>
        </w:tc>
        <w:tc>
          <w:tcPr>
            <w:tcW w:w="9083" w:type="dxa"/>
            <w:tcBorders/>
            <w:vAlign w:val="center"/>
          </w:tcPr>
          <w:p>
            <w:pPr>
              <w:pStyle w:val="TableContents"/>
              <w:bidi w:val="0"/>
              <w:spacing w:before="0" w:after="283"/>
              <w:jc w:val="both"/>
              <w:rPr/>
            </w:pPr>
            <w:r>
              <w:rPr/>
              <w:t> </w:t>
            </w:r>
          </w:p>
        </w:tc>
      </w:tr>
      <w:tr>
        <w:trPr/>
        <w:tc>
          <w:tcPr>
            <w:tcW w:w="112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Securities Offered</w:t>
            </w:r>
          </w:p>
        </w:tc>
        <w:tc>
          <w:tcPr>
            <w:tcW w:w="908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$550,000,000 aggregate principal amount of 4.950% notes due 2031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$650,000,000 aggregate principal amount of 5.400% notes due 2036</w:t>
            </w:r>
          </w:p>
        </w:tc>
      </w:tr>
      <w:tr>
        <w:trPr/>
        <w:tc>
          <w:tcPr>
            <w:tcW w:w="1122" w:type="dxa"/>
            <w:tcBorders/>
            <w:vAlign w:val="center"/>
          </w:tcPr>
          <w:p>
            <w:pPr>
              <w:pStyle w:val="TableContents"/>
              <w:bidi w:val="0"/>
              <w:spacing w:before="0" w:after="283"/>
              <w:jc w:val="both"/>
              <w:rPr/>
            </w:pPr>
            <w:r>
              <w:rPr/>
              <w:t> </w:t>
            </w:r>
          </w:p>
        </w:tc>
        <w:tc>
          <w:tcPr>
            <w:tcW w:w="9083" w:type="dxa"/>
            <w:tcBorders/>
            <w:vAlign w:val="center"/>
          </w:tcPr>
          <w:p>
            <w:pPr>
              <w:pStyle w:val="TableContents"/>
              <w:bidi w:val="0"/>
              <w:spacing w:before="0" w:after="283"/>
              <w:jc w:val="both"/>
              <w:rPr/>
            </w:pPr>
            <w:r>
              <w:rPr/>
              <w:t> </w:t>
            </w:r>
          </w:p>
        </w:tc>
      </w:tr>
      <w:tr>
        <w:trPr/>
        <w:tc>
          <w:tcPr>
            <w:tcW w:w="112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Maturity Date</w:t>
            </w:r>
          </w:p>
        </w:tc>
        <w:tc>
          <w:tcPr>
            <w:tcW w:w="908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redeemed prior to maturity as described below,</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2031 notes will mature on August 1, 2031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2036 notes will mature on August 1, 2036</w:t>
            </w:r>
          </w:p>
        </w:tc>
      </w:tr>
      <w:tr>
        <w:trPr/>
        <w:tc>
          <w:tcPr>
            <w:tcW w:w="1122" w:type="dxa"/>
            <w:tcBorders/>
            <w:vAlign w:val="center"/>
          </w:tcPr>
          <w:p>
            <w:pPr>
              <w:pStyle w:val="TableContents"/>
              <w:bidi w:val="0"/>
              <w:spacing w:before="0" w:after="283"/>
              <w:jc w:val="both"/>
              <w:rPr/>
            </w:pPr>
            <w:r>
              <w:rPr/>
              <w:t> </w:t>
            </w:r>
          </w:p>
        </w:tc>
        <w:tc>
          <w:tcPr>
            <w:tcW w:w="9083" w:type="dxa"/>
            <w:tcBorders/>
            <w:vAlign w:val="center"/>
          </w:tcPr>
          <w:p>
            <w:pPr>
              <w:pStyle w:val="TableContents"/>
              <w:bidi w:val="0"/>
              <w:spacing w:before="0" w:after="283"/>
              <w:jc w:val="both"/>
              <w:rPr/>
            </w:pPr>
            <w:r>
              <w:rPr/>
              <w:t> </w:t>
            </w:r>
          </w:p>
        </w:tc>
      </w:tr>
      <w:tr>
        <w:trPr/>
        <w:tc>
          <w:tcPr>
            <w:tcW w:w="112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Interest</w:t>
            </w:r>
          </w:p>
        </w:tc>
        <w:tc>
          <w:tcPr>
            <w:tcW w:w="908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notes will accrue at the rate of 4.950% per annum in the case of the 2031 notes and 5.400% per annum in the case of the 2036 notes. Interest on the notes will be payable semiannually in arrears on February 1 and August 1, commencing on February 1, 2027.</w:t>
            </w:r>
          </w:p>
        </w:tc>
      </w:tr>
    </w:tbl>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920"/>
        <w:gridCol w:w="68"/>
        <w:gridCol w:w="193"/>
        <w:gridCol w:w="9024"/>
      </w:tblGrid>
      <w:tr>
        <w:trPr/>
        <w:tc>
          <w:tcPr>
            <w:tcW w:w="9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Ranking</w:t>
            </w:r>
          </w:p>
        </w:tc>
        <w:tc>
          <w:tcPr>
            <w:tcW w:w="9285" w:type="dxa"/>
            <w:gridSpan w:val="3"/>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notes will be senior unsecured obligations of the Company. The payment of the principal of premium, if any, and interest on the notes will:</w:t>
            </w:r>
          </w:p>
        </w:tc>
      </w:tr>
      <w:tr>
        <w:trPr/>
        <w:tc>
          <w:tcPr>
            <w:tcW w:w="920" w:type="dxa"/>
            <w:tcBorders/>
            <w:vAlign w:val="center"/>
          </w:tcPr>
          <w:p>
            <w:pPr>
              <w:pStyle w:val="TableContents"/>
              <w:bidi w:val="0"/>
              <w:spacing w:before="0" w:after="283"/>
              <w:jc w:val="left"/>
              <w:rPr/>
            </w:pPr>
            <w:r>
              <w:rPr/>
              <w:t> </w:t>
            </w:r>
          </w:p>
        </w:tc>
        <w:tc>
          <w:tcPr>
            <w:tcW w:w="9285" w:type="dxa"/>
            <w:gridSpan w:val="3"/>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90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rank equally in right of payment with all of our existing and future senior unsecured indebtedness;</w:t>
            </w:r>
          </w:p>
        </w:tc>
      </w:tr>
      <w:tr>
        <w:trPr/>
        <w:tc>
          <w:tcPr>
            <w:tcW w:w="920" w:type="dxa"/>
            <w:tcBorders/>
            <w:vAlign w:val="center"/>
          </w:tcPr>
          <w:p>
            <w:pPr>
              <w:pStyle w:val="TableContents"/>
              <w:bidi w:val="0"/>
              <w:spacing w:before="0" w:after="283"/>
              <w:jc w:val="left"/>
              <w:rPr/>
            </w:pPr>
            <w:r>
              <w:rPr/>
              <w:t> </w:t>
            </w:r>
          </w:p>
        </w:tc>
        <w:tc>
          <w:tcPr>
            <w:tcW w:w="9285" w:type="dxa"/>
            <w:gridSpan w:val="3"/>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90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rank senior in right of payment to all of our existing and future subordinated indebtedness;</w:t>
            </w:r>
          </w:p>
        </w:tc>
      </w:tr>
      <w:tr>
        <w:trPr/>
        <w:tc>
          <w:tcPr>
            <w:tcW w:w="920" w:type="dxa"/>
            <w:tcBorders/>
            <w:vAlign w:val="center"/>
          </w:tcPr>
          <w:p>
            <w:pPr>
              <w:pStyle w:val="TableContents"/>
              <w:bidi w:val="0"/>
              <w:spacing w:before="0" w:after="283"/>
              <w:jc w:val="left"/>
              <w:rPr/>
            </w:pPr>
            <w:r>
              <w:rPr/>
              <w:t> </w:t>
            </w:r>
          </w:p>
        </w:tc>
        <w:tc>
          <w:tcPr>
            <w:tcW w:w="9285" w:type="dxa"/>
            <w:gridSpan w:val="3"/>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90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 structurally subordinated to all liabilities (including trade payables) of our existing and future subsidiaries; and</w:t>
            </w:r>
          </w:p>
        </w:tc>
      </w:tr>
      <w:tr>
        <w:trPr/>
        <w:tc>
          <w:tcPr>
            <w:tcW w:w="920" w:type="dxa"/>
            <w:tcBorders/>
            <w:vAlign w:val="center"/>
          </w:tcPr>
          <w:p>
            <w:pPr>
              <w:pStyle w:val="TableContents"/>
              <w:bidi w:val="0"/>
              <w:spacing w:before="0" w:after="283"/>
              <w:jc w:val="left"/>
              <w:rPr/>
            </w:pPr>
            <w:r>
              <w:rPr/>
              <w:t> </w:t>
            </w:r>
          </w:p>
        </w:tc>
        <w:tc>
          <w:tcPr>
            <w:tcW w:w="9285" w:type="dxa"/>
            <w:gridSpan w:val="3"/>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90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 effectively subordinated to our and our subsidiaries existing and future secured indebtedness to the extent of the value of the collateral securing such indebtedness.</w:t>
            </w:r>
          </w:p>
        </w:tc>
      </w:tr>
      <w:tr>
        <w:trPr/>
        <w:tc>
          <w:tcPr>
            <w:tcW w:w="9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024" w:type="dxa"/>
            <w:tcBorders/>
            <w:vAlign w:val="center"/>
          </w:tcPr>
          <w:p>
            <w:pPr>
              <w:pStyle w:val="TableContents"/>
              <w:bidi w:val="0"/>
              <w:spacing w:before="0" w:after="283"/>
              <w:jc w:val="both"/>
              <w:rPr/>
            </w:pPr>
            <w:r>
              <w:rPr/>
              <w:t> </w:t>
            </w:r>
          </w:p>
        </w:tc>
      </w:tr>
      <w:tr>
        <w:trPr/>
        <w:tc>
          <w:tcPr>
            <w:tcW w:w="920" w:type="dxa"/>
            <w:tcBorders/>
            <w:vAlign w:val="center"/>
          </w:tcPr>
          <w:p>
            <w:pPr>
              <w:pStyle w:val="TableContents"/>
              <w:bidi w:val="0"/>
              <w:spacing w:before="0" w:after="283"/>
              <w:jc w:val="left"/>
              <w:rPr/>
            </w:pPr>
            <w:r>
              <w:rPr/>
              <w:t> </w:t>
            </w:r>
          </w:p>
        </w:tc>
        <w:tc>
          <w:tcPr>
            <w:tcW w:w="9285" w:type="dxa"/>
            <w:gridSpan w:val="3"/>
            <w:tcBorders/>
            <w:vAlign w:val="center"/>
          </w:tcPr>
          <w:p>
            <w:pPr>
              <w:pStyle w:val="TableContents"/>
              <w:bidi w:val="0"/>
              <w:spacing w:before="0" w:after="283"/>
              <w:jc w:val="both"/>
              <w:rPr/>
            </w:pPr>
            <w:r>
              <w:rPr/>
              <w:t>As of April 30, 2026, before giving effect to the issuance of the notes and the use of proceeds therefrom, we had approximately $2,587.3 million aggregate principal amount of indebtedness, none of which is secured indebtedness.</w:t>
            </w:r>
          </w:p>
        </w:tc>
      </w:tr>
    </w:tbl>
    <w:p>
      <w:pPr>
        <w:pStyle w:val="TextBody"/>
        <w:bidi w:val="0"/>
        <w:spacing w:before="0" w:after="0"/>
        <w:ind w:left="0" w:right="0" w:firstLine="720"/>
        <w:jc w:val="both"/>
        <w:rPr>
          <w:caps/>
          <w:bdr w:val="single" w:sz="12" w:space="1" w:color="000000"/>
        </w:rPr>
      </w:pPr>
      <w:r>
        <w:rPr>
          <w:caps/>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655"/>
        <w:gridCol w:w="8550"/>
      </w:tblGrid>
      <w:tr>
        <w:trPr/>
        <w:tc>
          <w:tcPr>
            <w:tcW w:w="1655" w:type="dxa"/>
            <w:tcBorders/>
            <w:vAlign w:val="center"/>
          </w:tcPr>
          <w:p>
            <w:pPr>
              <w:pStyle w:val="TableContents"/>
              <w:bidi w:val="0"/>
              <w:spacing w:before="0" w:after="283"/>
              <w:jc w:val="left"/>
              <w:rPr>
                <w:b/>
              </w:rPr>
            </w:pPr>
            <w:r>
              <w:rPr>
                <w:b/>
              </w:rPr>
              <w:t>Future Subsidiary Guarantees</w:t>
            </w:r>
          </w:p>
        </w:tc>
        <w:tc>
          <w:tcPr>
            <w:tcW w:w="8550" w:type="dxa"/>
            <w:tcBorders/>
            <w:vAlign w:val="center"/>
          </w:tcPr>
          <w:p>
            <w:pPr>
              <w:pStyle w:val="TableContents"/>
              <w:bidi w:val="0"/>
              <w:spacing w:before="0" w:after="283"/>
              <w:jc w:val="both"/>
              <w:rPr/>
            </w:pPr>
            <w:r>
              <w:rPr/>
              <w:t>The notes initially will not be guaranteed by any of our subsidiaries. However, if in the future any of our subsidiaries guarantee our Existing Senior Notes (as defined below), such subsidiary will be required to guarantee the notes on a senior unsecured basis. See “Description of the Notes—Certain Covenants—Future subsidiary guarantees”.</w:t>
            </w:r>
          </w:p>
        </w:tc>
      </w:tr>
      <w:tr>
        <w:trPr/>
        <w:tc>
          <w:tcPr>
            <w:tcW w:w="1655"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both"/>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Optional Redemption</w:t>
            </w:r>
          </w:p>
        </w:tc>
        <w:tc>
          <w:tcPr>
            <w:tcW w:w="8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series of notes will be redeemable at any time prior to the applicable Par Call Date, as a whole or in part, at our option, on at least 10 days’, but not more than 60 days’, prior notice mailed to the registered address of each holder of the notes to be redeemed, at a redemption price (expressed as a percentage of principal amount and rounded to three decimal places) equal to the greater of:</w:t>
            </w:r>
          </w:p>
        </w:tc>
      </w:tr>
    </w:tbl>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60"/>
        <w:gridCol w:w="209"/>
        <w:gridCol w:w="9861"/>
      </w:tblGrid>
      <w:tr>
        <w:trPr/>
        <w:tc>
          <w:tcPr>
            <w:tcW w:w="7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209"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(i)</w:t>
            </w:r>
          </w:p>
        </w:tc>
        <w:tc>
          <w:tcPr>
            <w:tcW w:w="986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 sum of the present values of the remaining scheduled payments of principal and interest thereon discounted to the redemption date (assuming the notes matured on the applicable Par Call Date) on a semiannual basis (assuming a 360-day year consisting of twelve 30-day months) at the Treasury Rate (as defined below) plus 10 basis points, in the case of the 2031 notes, and 15 basis points, in the case of the 2036 notes, less (b) interest accrued to the date of redemption, and</w:t>
            </w:r>
          </w:p>
        </w:tc>
      </w:tr>
      <w:tr>
        <w:trPr/>
        <w:tc>
          <w:tcPr>
            <w:tcW w:w="75" w:type="dxa"/>
            <w:tcBorders/>
            <w:vAlign w:val="center"/>
          </w:tcPr>
          <w:p>
            <w:pPr>
              <w:pStyle w:val="TableContents"/>
              <w:bidi w:val="0"/>
              <w:spacing w:before="0" w:after="283"/>
              <w:ind w:left="0" w:right="0" w:hanging="0"/>
              <w:jc w:val="left"/>
              <w:rPr/>
            </w:pPr>
            <w:r>
              <w:rPr/>
              <w:t> </w:t>
            </w:r>
          </w:p>
        </w:tc>
        <w:tc>
          <w:tcPr>
            <w:tcW w:w="10130"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209"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(ii)</w:t>
            </w:r>
          </w:p>
        </w:tc>
        <w:tc>
          <w:tcPr>
            <w:tcW w:w="9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 of the principal amount of the notes to be redeemed, plus, in either case, accrued and unpaid interest, if any, on the principal amount of the notes to be redeemed to, but excluding, the redemption date. Each series of notes will be redeemable at any time on or after the applicable Par Call Date, as a whole or in part, at our option, on at least 10 days’, but not more than 60 days’, prior notice mailed to the registered address of each holder of the series of notes to be redeemed, at a redemption price equal to 100% of the principal amount of the notes to be redeemed, plus accrued and unpaid interest, if any, on the principal amount of the notes to be redeemed to, but excluding, the redemption date.</w:t>
            </w:r>
          </w:p>
        </w:tc>
      </w:tr>
    </w:tbl>
    <w:p>
      <w:pPr>
        <w:pStyle w:val="TextBody"/>
        <w:bidi w:val="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837"/>
        <w:gridCol w:w="9368"/>
      </w:tblGrid>
      <w:tr>
        <w:trPr/>
        <w:tc>
          <w:tcPr>
            <w:tcW w:w="8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 of Control</w:t>
            </w:r>
          </w:p>
        </w:tc>
        <w:tc>
          <w:tcPr>
            <w:tcW w:w="93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Change of Control Triggering Event (as defined below) occurs, unless we have exercised our right to redeem the notes in whole as described above, each holder of notes will have the right to require us to repurchase all or any part (equal to $2,000 or an integral multiple of $1,000 in excess thereof) of such holder’s notes on the terms set forth in the notes. We will be required to offer payment in cash equal to 101% of the aggregate principal amount of notes repurchased, plus accrued and unpaid interest, if any, on the notes repurchased to the date of repurchase. See “Description of the Notes—Offer to Repurchase Upon Change of Control Triggering Event”.</w:t>
            </w:r>
          </w:p>
        </w:tc>
      </w:tr>
    </w:tbl>
    <w:p>
      <w:pPr>
        <w:pStyle w:val="TextBody"/>
        <w:bidi w:val="0"/>
        <w:jc w:val="left"/>
        <w:rPr>
          <w:caps/>
          <w:bdr w:val="single" w:sz="12" w:space="1" w:color="000000"/>
        </w:rPr>
      </w:pPr>
      <w:r>
        <w:rPr>
          <w:caps/>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308"/>
        <w:gridCol w:w="65"/>
        <w:gridCol w:w="203"/>
        <w:gridCol w:w="8629"/>
      </w:tblGrid>
      <w:tr>
        <w:trPr/>
        <w:tc>
          <w:tcPr>
            <w:tcW w:w="1308"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Certain Covenants</w:t>
            </w:r>
          </w:p>
        </w:tc>
        <w:tc>
          <w:tcPr>
            <w:tcW w:w="8897" w:type="dxa"/>
            <w:gridSpan w:val="3"/>
            <w:tcBorders/>
            <w:vAlign w:val="center"/>
          </w:tcPr>
          <w:p>
            <w:pPr>
              <w:pStyle w:val="TableContents"/>
              <w:bidi w:val="0"/>
              <w:spacing w:before="0" w:after="283"/>
              <w:jc w:val="both"/>
              <w:rPr/>
            </w:pPr>
            <w:r>
              <w:rPr/>
              <w:t>The indenture governing the notes will contain certain covenants applicable to HEICO and its Restricted Subsidiaries (as defined below), including limitations on liens and mergers, consolidations and sale of assets. Each of these covenants is subject to important exceptions and qualifications. The indenture governing the notes, among other things, includes:</w:t>
            </w:r>
          </w:p>
        </w:tc>
      </w:tr>
      <w:tr>
        <w:trPr/>
        <w:tc>
          <w:tcPr>
            <w:tcW w:w="1308" w:type="dxa"/>
            <w:tcBorders/>
            <w:vAlign w:val="center"/>
          </w:tcPr>
          <w:p>
            <w:pPr>
              <w:pStyle w:val="TableContents"/>
              <w:bidi w:val="0"/>
              <w:spacing w:before="0" w:after="283"/>
              <w:jc w:val="left"/>
              <w:rPr/>
            </w:pPr>
            <w:r>
              <w:rPr/>
              <w:t> </w:t>
            </w:r>
          </w:p>
        </w:tc>
        <w:tc>
          <w:tcPr>
            <w:tcW w:w="8897" w:type="dxa"/>
            <w:gridSpan w:val="3"/>
            <w:tcBorders/>
            <w:vAlign w:val="center"/>
          </w:tcPr>
          <w:p>
            <w:pPr>
              <w:pStyle w:val="TableContents"/>
              <w:bidi w:val="0"/>
              <w:spacing w:before="0" w:after="283"/>
              <w:jc w:val="left"/>
              <w:rPr/>
            </w:pPr>
            <w:r>
              <w:rPr/>
              <w:t> </w:t>
            </w:r>
          </w:p>
        </w:tc>
      </w:tr>
      <w:tr>
        <w:trPr/>
        <w:tc>
          <w:tcPr>
            <w:tcW w:w="1308"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xml:space="preserve">● </w:t>
            </w:r>
          </w:p>
        </w:tc>
        <w:tc>
          <w:tcPr>
            <w:tcW w:w="8629" w:type="dxa"/>
            <w:tcBorders/>
            <w:vAlign w:val="center"/>
          </w:tcPr>
          <w:p>
            <w:pPr>
              <w:pStyle w:val="TableContents"/>
              <w:bidi w:val="0"/>
              <w:spacing w:before="0" w:after="283"/>
              <w:jc w:val="both"/>
              <w:rPr/>
            </w:pPr>
            <w:r>
              <w:rPr/>
              <w:t>restrictions on the ability of HEICO and any Restricted Subsidiary to create, incur, issue, assume or guarantee any indebtedness for borrowed money secured by a mortgage, security interest, pledge or lien on any of our Principal Property (as defined below);</w:t>
            </w:r>
          </w:p>
        </w:tc>
      </w:tr>
      <w:tr>
        <w:trPr/>
        <w:tc>
          <w:tcPr>
            <w:tcW w:w="1308" w:type="dxa"/>
            <w:tcBorders/>
            <w:vAlign w:val="center"/>
          </w:tcPr>
          <w:p>
            <w:pPr>
              <w:pStyle w:val="TableContents"/>
              <w:bidi w:val="0"/>
              <w:spacing w:before="0" w:after="283"/>
              <w:jc w:val="left"/>
              <w:rPr/>
            </w:pPr>
            <w:r>
              <w:rPr/>
              <w:t> </w:t>
            </w:r>
          </w:p>
        </w:tc>
        <w:tc>
          <w:tcPr>
            <w:tcW w:w="8897" w:type="dxa"/>
            <w:gridSpan w:val="3"/>
            <w:tcBorders/>
            <w:vAlign w:val="center"/>
          </w:tcPr>
          <w:p>
            <w:pPr>
              <w:pStyle w:val="TableContents"/>
              <w:bidi w:val="0"/>
              <w:spacing w:before="0" w:after="283"/>
              <w:jc w:val="left"/>
              <w:rPr/>
            </w:pPr>
            <w:r>
              <w:rPr/>
              <w:t> </w:t>
            </w:r>
          </w:p>
        </w:tc>
      </w:tr>
      <w:tr>
        <w:trPr/>
        <w:tc>
          <w:tcPr>
            <w:tcW w:w="1308"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8629" w:type="dxa"/>
            <w:tcBorders/>
            <w:vAlign w:val="center"/>
          </w:tcPr>
          <w:p>
            <w:pPr>
              <w:pStyle w:val="TableContents"/>
              <w:bidi w:val="0"/>
              <w:spacing w:before="0" w:after="283"/>
              <w:jc w:val="both"/>
              <w:rPr/>
            </w:pPr>
            <w:r>
              <w:rPr/>
              <w:t>restrictions on any sale and lease-back transactions by HEICO and any Restricted Subsidiary with respect to any Principal Property; and</w:t>
            </w:r>
          </w:p>
        </w:tc>
      </w:tr>
      <w:tr>
        <w:trPr/>
        <w:tc>
          <w:tcPr>
            <w:tcW w:w="1308" w:type="dxa"/>
            <w:tcBorders/>
            <w:vAlign w:val="center"/>
          </w:tcPr>
          <w:p>
            <w:pPr>
              <w:pStyle w:val="TableContents"/>
              <w:bidi w:val="0"/>
              <w:spacing w:before="0" w:after="283"/>
              <w:jc w:val="left"/>
              <w:rPr/>
            </w:pPr>
            <w:r>
              <w:rPr/>
              <w:t> </w:t>
            </w:r>
          </w:p>
        </w:tc>
        <w:tc>
          <w:tcPr>
            <w:tcW w:w="8897" w:type="dxa"/>
            <w:gridSpan w:val="3"/>
            <w:tcBorders/>
            <w:vAlign w:val="center"/>
          </w:tcPr>
          <w:p>
            <w:pPr>
              <w:pStyle w:val="TableContents"/>
              <w:bidi w:val="0"/>
              <w:spacing w:before="0" w:after="283"/>
              <w:jc w:val="left"/>
              <w:rPr/>
            </w:pPr>
            <w:r>
              <w:rPr/>
              <w:t> </w:t>
            </w:r>
          </w:p>
        </w:tc>
      </w:tr>
      <w:tr>
        <w:trPr/>
        <w:tc>
          <w:tcPr>
            <w:tcW w:w="1308"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862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restrictions on our ability to consolidate or merge with or into any other corporation, or lease, sell or transfer all or substantially all of our property and assets to any corporation. </w:t>
            </w:r>
          </w:p>
        </w:tc>
      </w:tr>
      <w:tr>
        <w:trPr/>
        <w:tc>
          <w:tcPr>
            <w:tcW w:w="1308" w:type="dxa"/>
            <w:tcBorders/>
            <w:vAlign w:val="center"/>
          </w:tcPr>
          <w:p>
            <w:pPr>
              <w:pStyle w:val="TableContents"/>
              <w:bidi w:val="0"/>
              <w:spacing w:before="0" w:after="283"/>
              <w:jc w:val="left"/>
              <w:rPr/>
            </w:pPr>
            <w:r>
              <w:rPr/>
              <w:t> </w:t>
            </w:r>
          </w:p>
        </w:tc>
        <w:tc>
          <w:tcPr>
            <w:tcW w:w="8897" w:type="dxa"/>
            <w:gridSpan w:val="3"/>
            <w:tcBorders/>
            <w:vAlign w:val="center"/>
          </w:tcPr>
          <w:p>
            <w:pPr>
              <w:pStyle w:val="TableContents"/>
              <w:bidi w:val="0"/>
              <w:spacing w:before="0" w:after="283"/>
              <w:jc w:val="left"/>
              <w:rPr/>
            </w:pPr>
            <w:r>
              <w:rPr/>
              <w:t> </w:t>
            </w:r>
          </w:p>
        </w:tc>
      </w:tr>
      <w:tr>
        <w:trPr/>
        <w:tc>
          <w:tcPr>
            <w:tcW w:w="1308" w:type="dxa"/>
            <w:tcBorders/>
            <w:vAlign w:val="center"/>
          </w:tcPr>
          <w:p>
            <w:pPr>
              <w:pStyle w:val="TableContents"/>
              <w:bidi w:val="0"/>
              <w:spacing w:before="0" w:after="283"/>
              <w:jc w:val="left"/>
              <w:rPr/>
            </w:pPr>
            <w:r>
              <w:rPr/>
              <w:t> </w:t>
            </w:r>
          </w:p>
        </w:tc>
        <w:tc>
          <w:tcPr>
            <w:tcW w:w="8897" w:type="dxa"/>
            <w:gridSpan w:val="3"/>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These covenants are subject to important exceptions and qualifications, which are described in “Description of the Notes—Certain Covenants”.</w:t>
            </w:r>
          </w:p>
        </w:tc>
      </w:tr>
    </w:tbl>
    <w:p>
      <w:pPr>
        <w:pStyle w:val="TextBody"/>
        <w:bidi w:val="0"/>
        <w:spacing w:before="0" w:after="0"/>
        <w:ind w:left="0" w:right="0" w:hanging="0"/>
        <w:jc w:val="center"/>
        <w:rPr>
          <w:caps/>
          <w:bdr w:val="single" w:sz="12" w:space="1" w:color="000000"/>
        </w:rPr>
      </w:pPr>
      <w:r>
        <w:rPr>
          <w:caps/>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205"/>
        <w:gridCol w:w="9000"/>
      </w:tblGrid>
      <w:tr>
        <w:trPr/>
        <w:tc>
          <w:tcPr>
            <w:tcW w:w="12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Use of Proceeds</w:t>
            </w:r>
          </w:p>
        </w:tc>
        <w:tc>
          <w:tcPr>
            <w:tcW w:w="90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of this offering will be approximately $1,188.9 million (after deducting the underwriting discounts and estimated offering expenses). We intend to use the net proceeds from the sale of the notes to pay down borrowings outstanding on our Existing Credit Facility.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invest funds that are not immediately needed for these purposes in short-term investments, including marketable securities. See “Use of Proceeds”.</w:t>
            </w:r>
          </w:p>
        </w:tc>
      </w:tr>
      <w:tr>
        <w:trPr/>
        <w:tc>
          <w:tcPr>
            <w:tcW w:w="1205"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283"/>
              <w:jc w:val="both"/>
              <w:rPr/>
            </w:pPr>
            <w:r>
              <w:rPr/>
              <w:t> </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 Listing</w:t>
            </w:r>
          </w:p>
        </w:tc>
        <w:tc>
          <w:tcPr>
            <w:tcW w:w="9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notes will not be listed on any securities exchange. Currently there are no public markets for the notes.</w:t>
            </w:r>
          </w:p>
        </w:tc>
      </w:tr>
      <w:tr>
        <w:trPr/>
        <w:tc>
          <w:tcPr>
            <w:tcW w:w="1205"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283"/>
              <w:jc w:val="both"/>
              <w:rPr/>
            </w:pPr>
            <w:r>
              <w:rPr/>
              <w:t> </w:t>
            </w:r>
          </w:p>
        </w:tc>
      </w:tr>
      <w:tr>
        <w:trPr/>
        <w:tc>
          <w:tcPr>
            <w:tcW w:w="12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Book-Entry Form</w:t>
            </w:r>
          </w:p>
        </w:tc>
        <w:tc>
          <w:tcPr>
            <w:tcW w:w="9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notes will be issued in book-entry form and will be represented by one or more global securities registered in the name of Cede &amp; Co., as nominee for DTC (as defined below). Beneficial interests in the notes will be evidenced by, and transfers will be effected only through, records maintained by participants in DTC.</w:t>
            </w:r>
          </w:p>
        </w:tc>
      </w:tr>
    </w:tbl>
    <w:p>
      <w:pPr>
        <w:pStyle w:val="TextBody"/>
        <w:bidi w:val="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334"/>
        <w:gridCol w:w="8871"/>
      </w:tblGrid>
      <w:tr>
        <w:trPr/>
        <w:tc>
          <w:tcPr>
            <w:tcW w:w="133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 Public Trading Market; Listing</w:t>
            </w:r>
          </w:p>
        </w:tc>
        <w:tc>
          <w:tcPr>
            <w:tcW w:w="88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notes are new issues of securities for which there is no established market. Accordingly, there can be no assurance that a market for the notes will develop or as to the liquidity of any market that may develop. The underwriters have advised us that they currently intend to make a market in the notes. However, they are not obligated to do so and any market making with respect to the notes may be discontinued without notice. We do not intend to apply for listing of the notes on any securities exchange.</w:t>
            </w:r>
          </w:p>
        </w:tc>
      </w:tr>
      <w:tr>
        <w:trPr/>
        <w:tc>
          <w:tcPr>
            <w:tcW w:w="1334" w:type="dxa"/>
            <w:tcBorders/>
            <w:vAlign w:val="center"/>
          </w:tcPr>
          <w:p>
            <w:pPr>
              <w:pStyle w:val="TableContents"/>
              <w:bidi w:val="0"/>
              <w:spacing w:before="0" w:after="283"/>
              <w:jc w:val="left"/>
              <w:rPr/>
            </w:pPr>
            <w:r>
              <w:rPr/>
              <w:t> </w:t>
            </w:r>
          </w:p>
        </w:tc>
        <w:tc>
          <w:tcPr>
            <w:tcW w:w="8871" w:type="dxa"/>
            <w:tcBorders/>
            <w:vAlign w:val="center"/>
          </w:tcPr>
          <w:p>
            <w:pPr>
              <w:pStyle w:val="TableContents"/>
              <w:bidi w:val="0"/>
              <w:spacing w:before="0" w:after="283"/>
              <w:jc w:val="both"/>
              <w:rPr/>
            </w:pPr>
            <w:r>
              <w:rPr/>
              <w:t> </w:t>
            </w:r>
          </w:p>
        </w:tc>
      </w:tr>
      <w:tr>
        <w:trPr/>
        <w:tc>
          <w:tcPr>
            <w:tcW w:w="133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Governing Law</w:t>
            </w:r>
          </w:p>
        </w:tc>
        <w:tc>
          <w:tcPr>
            <w:tcW w:w="88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State of New York</w:t>
            </w:r>
          </w:p>
        </w:tc>
      </w:tr>
      <w:tr>
        <w:trPr/>
        <w:tc>
          <w:tcPr>
            <w:tcW w:w="1334" w:type="dxa"/>
            <w:tcBorders/>
            <w:vAlign w:val="center"/>
          </w:tcPr>
          <w:p>
            <w:pPr>
              <w:pStyle w:val="TableContents"/>
              <w:bidi w:val="0"/>
              <w:spacing w:before="0" w:after="283"/>
              <w:jc w:val="left"/>
              <w:rPr/>
            </w:pPr>
            <w:r>
              <w:rPr/>
              <w:t> </w:t>
            </w:r>
          </w:p>
        </w:tc>
        <w:tc>
          <w:tcPr>
            <w:tcW w:w="8871" w:type="dxa"/>
            <w:tcBorders/>
            <w:vAlign w:val="center"/>
          </w:tcPr>
          <w:p>
            <w:pPr>
              <w:pStyle w:val="TableContents"/>
              <w:bidi w:val="0"/>
              <w:spacing w:before="0" w:after="283"/>
              <w:jc w:val="both"/>
              <w:rPr/>
            </w:pPr>
            <w:r>
              <w:rPr/>
              <w:t> </w:t>
            </w:r>
          </w:p>
        </w:tc>
      </w:tr>
      <w:tr>
        <w:trPr/>
        <w:tc>
          <w:tcPr>
            <w:tcW w:w="133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Trustee</w:t>
            </w:r>
          </w:p>
        </w:tc>
        <w:tc>
          <w:tcPr>
            <w:tcW w:w="88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Truist Bank</w:t>
            </w:r>
          </w:p>
        </w:tc>
      </w:tr>
      <w:tr>
        <w:trPr/>
        <w:tc>
          <w:tcPr>
            <w:tcW w:w="1334" w:type="dxa"/>
            <w:tcBorders/>
            <w:vAlign w:val="center"/>
          </w:tcPr>
          <w:p>
            <w:pPr>
              <w:pStyle w:val="TableContents"/>
              <w:bidi w:val="0"/>
              <w:spacing w:before="0" w:after="283"/>
              <w:jc w:val="left"/>
              <w:rPr/>
            </w:pPr>
            <w:r>
              <w:rPr/>
              <w:t> </w:t>
            </w:r>
          </w:p>
        </w:tc>
        <w:tc>
          <w:tcPr>
            <w:tcW w:w="8871" w:type="dxa"/>
            <w:tcBorders/>
            <w:vAlign w:val="center"/>
          </w:tcPr>
          <w:p>
            <w:pPr>
              <w:pStyle w:val="TableContents"/>
              <w:bidi w:val="0"/>
              <w:spacing w:before="0" w:after="283"/>
              <w:jc w:val="both"/>
              <w:rPr/>
            </w:pPr>
            <w:r>
              <w:rPr/>
              <w:t> </w:t>
            </w:r>
          </w:p>
        </w:tc>
      </w:tr>
      <w:tr>
        <w:trPr/>
        <w:tc>
          <w:tcPr>
            <w:tcW w:w="133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Risk Factors</w:t>
            </w:r>
          </w:p>
        </w:tc>
        <w:tc>
          <w:tcPr>
            <w:tcW w:w="88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 “Risk Factors” and other information included or incorporated by reference in this prospectus supplement and the accompanying prospectus for factors you should consider before deciding to invest in the notes.</w:t>
            </w:r>
          </w:p>
        </w:tc>
      </w:tr>
      <w:tr>
        <w:trPr/>
        <w:tc>
          <w:tcPr>
            <w:tcW w:w="1334" w:type="dxa"/>
            <w:tcBorders/>
            <w:vAlign w:val="center"/>
          </w:tcPr>
          <w:p>
            <w:pPr>
              <w:pStyle w:val="TableContents"/>
              <w:bidi w:val="0"/>
              <w:spacing w:before="0" w:after="283"/>
              <w:jc w:val="left"/>
              <w:rPr/>
            </w:pPr>
            <w:r>
              <w:rPr/>
              <w:t> </w:t>
            </w:r>
          </w:p>
        </w:tc>
        <w:tc>
          <w:tcPr>
            <w:tcW w:w="8871" w:type="dxa"/>
            <w:tcBorders/>
            <w:vAlign w:val="center"/>
          </w:tcPr>
          <w:p>
            <w:pPr>
              <w:pStyle w:val="TableContents"/>
              <w:bidi w:val="0"/>
              <w:spacing w:before="0" w:after="283"/>
              <w:jc w:val="both"/>
              <w:rPr/>
            </w:pPr>
            <w:r>
              <w:rPr/>
              <w:t> </w:t>
            </w:r>
          </w:p>
        </w:tc>
      </w:tr>
      <w:tr>
        <w:trPr/>
        <w:tc>
          <w:tcPr>
            <w:tcW w:w="133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Conflicts</w:t>
            </w:r>
          </w:p>
        </w:tc>
        <w:tc>
          <w:tcPr>
            <w:tcW w:w="88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of the underwriters and/or their affiliates are lenders under the Existing Credit Facility and, accordingly, will receive pro rata portions of the net proceeds from this offering used to pay down borrowings outstanding thereunder. Nonetheless, in accordance with the Financial Industry Regulatory Authority, Inc. Rule 5121, the appointment of a qualified independent underwriter is not necessary in connection with this offering. See “Underwriting—Conflicts of Interest.”</w:t>
            </w:r>
          </w:p>
        </w:tc>
      </w:tr>
    </w:tbl>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9" w:name="pro_009"/>
      <w:bookmarkEnd w:id="9"/>
      <w:r>
        <w:rPr>
          <w:rFonts w:ascii="Times New Roman;Times;Serif" w:hAnsi="Times New Roman;Times;Serif"/>
          <w:b/>
          <w:i w:val="false"/>
          <w:caps/>
          <w:sz w:val="20"/>
        </w:rPr>
        <w:t>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Investing in the notes involves significant risk. Before making a decision to invest in the notes, you should consider carefully the risk factors described below, and those set forth in our most recent Annual Report on Form 10-K and in other documents incorporated by reference in this prospectus supplement and the accompanying prospectus and which may be obtained as described under “Where You Can Find Additional Information” and “Incorporation of Certain Documents by Reference,” as well as the other information contained and incorporated by reference in this prospectus supplement, the accompanying prospectus and any related free writing prospectus. Each of these risks could have a material adverse effect on our business, results of operations and financial condition and the occurrence of any of these risks might cause you to lose all or part of your investment in the notes. These risks are not the only ones we face. Unforeseen risks could arise and problems or issues that we now view as minor could become more significant. If we are unable to adequately respond to these risks and uncertainties, our business, results of operations and financial condition would be materially adversely affected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Your right to receive payments on the notes is effectively subordinated to the rights of secured creditors.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effectively subordinated in right of payment to any secured indebtedness to the extent of the value of the collateral securing that indebtedness. The indenture under which the notes will be issued permits us to incur secured debt under specified circumstances. Any assets securing any of our secured indebtedness that we incur in the future will be subject to prior claims by our secured creditors. In the event of our bankruptcy, insolvency, liquidation, reorganization, dissolution or other winding-up, any assets that secure any of our debt will be available to pay our obligations under the notes only after all debt secured by those assets, as well as any other obligations ranking senior in right of payment to the notes, have been repaid in full, and holders of the notes would then only be entitled to participate in our remaining assets, if any, ratably with all of our remaining unsecured senior creditors. If there are insufficient assets remaining to pay all of these creditors, then all or a portion of the notes then outstanding and interest thereon would remain unpaid. As of April 30, 2026, we had no outstanding secured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 of our subsidiaries will initially be guarantors with respect to the notes, therefore, any claims you may have in respect of the notes will be structurally subordinated to the liabilities of our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initially will not be guaranteed by any of our subsidiaries. If any of our subsidiaries becomes insolvent, liquidates, reorganizes, dissolves or otherwise winds up, holders of its indebtedness and its trade creditors generally will be entitled to payment on their claims from the assets of such subsidiary before any of those assets would be made available to us. Consequently, your claims in respect of the notes will be structurally subordinated to all of the existing and future liabilities, including trade payables, of our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not limit the incurrence of indebtedness by our subsidiaries. In addition, the indenture will not impose any limitation on the incurrence by such subsidiaries of liabilities that are not considered indebtedness under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limited covenants in the indenture that will govern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that will govern the notes contains limited covenants, including those restricting our ability to incur secured indebtedness, enter into certain sale and lease-back transactions or enter into consolidations, mergers or sales of all or substantially all of our assets. The restrictions on secured indebtedness and sale and lease-back covenants contain exceptions that will allow us and our subsidiaries to incur liens with respect to material assets. See “Description of Debt Securities—Certain Covenants” in the accompanying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indenture for the notes does not:</w:t>
      </w:r>
    </w:p>
    <w:p>
      <w:pPr>
        <w:pStyle w:val="TextBody"/>
        <w:bidi w:val="0"/>
        <w:spacing w:before="0" w:after="0"/>
        <w:ind w:left="1440" w:right="0" w:hanging="72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us to maintain any financial ratios or specific levels of net worth, revenues, income, cash flow or liquidity;</w:t>
            </w:r>
          </w:p>
        </w:tc>
      </w:tr>
    </w:tbl>
    <w:p>
      <w:pPr>
        <w:pStyle w:val="TextBody"/>
        <w:bidi w:val="0"/>
        <w:spacing w:before="0" w:after="0"/>
        <w:ind w:left="1440" w:right="0" w:hanging="720"/>
        <w:jc w:val="both"/>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170"/>
        <w:gridCol w:w="68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our ability to incur indebtedness that is equal in right of payment to the notes;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 our subsidiaries’ ability to issue securities or otherwise incur indebtedness that would be senior to our equity interests in our subsidiaries and therefore rank effectively senior to the notes;</w:t>
            </w:r>
          </w:p>
        </w:tc>
      </w:tr>
    </w:tbl>
    <w:p>
      <w:pPr>
        <w:pStyle w:val="TextBody"/>
        <w:bidi w:val="0"/>
        <w:spacing w:before="0" w:after="0"/>
        <w:ind w:left="1440" w:right="0" w:hanging="72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170"/>
        <w:gridCol w:w="4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the ability of our subsidiaries to service indebtedness;</w:t>
            </w:r>
          </w:p>
        </w:tc>
      </w:tr>
    </w:tbl>
    <w:p>
      <w:pPr>
        <w:pStyle w:val="TextBody"/>
        <w:bidi w:val="0"/>
        <w:spacing w:before="0" w:after="0"/>
        <w:ind w:left="1440" w:right="0" w:hanging="720"/>
        <w:jc w:val="both"/>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75"/>
        <w:gridCol w:w="170"/>
        <w:gridCol w:w="76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 our ability to repurchase or prepay any other of our securities or other indebtedness;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 our ability to make investments or to repurchase or pay dividends or make other payments in respect of our common stock or other securities ranking junior to the notes.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when evaluating the terms of the notes, you should be aware that the terms of the indenture and the notes do not restrict our ability to engage in, or to otherwise be a party to, a variety of corporate transactions, circumstances and events that could have an adverse impact on your investment in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incurrence of additional indebtedness may have adverse consequences to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incur additional indebtedness in the future, which may have important consequences for you as a holder of the notes, including making it more difficult for us to satisfy our obligations with respect to the notes as a result of additional interest payment expenses, a loss in the trading value of your notes and a risk that the credit rating of your notes may be lowered.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terms of the indenture and the notes provide only limited protection against significant corporate events and other actions we may take that could adversely impact your investment in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Change of Control Triggering Event, you will have the right to require us to repurchase the notes as provided in the indenture and the notes. However, the Change of Control Triggering Event provisions will not afford you protection in the event of certain highly leveraged transactions that may adversely affect you. For example, any leveraged recapitalization, refinancing, restructuring or acquisition initiated by us generally will not constitute a Change of Control (as defined below) that would potentially lead to a Change of Control Triggering Event. As a result, we could enter into any such transaction even though the transaction could increase the total amount of our outstanding indebtedness, adversely affect our capital structure or credit rating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were to occur, the value of your notes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payment made under the guarantee by any future subsidiary guarantor could be voided as a fraudulent transfer if the subsidiary is insolvent.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guarantee by any future subsidiary guarantor that is found to be a fraudulent transfer may be voided under the fraudulent transfer laws described below. The application of these laws requires the making of complex factual determinations and estimates as to which there may be different opinions and views.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federal and state fraudulent transfer laws provide that a guarantee by a future subsidiary guarantor can be voided, or claims under a guarantee by a future subsidiary guarantor may be subordinated to all other debts of that subsidiary guarantor if, among other things, at the time it incurred the indebtedness evidenced by its guarantee: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future subsidiary guarantor intended to hinder, delay or defraud any present or future creditor;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future subsidiary guarantor received less than reasonably equivalent value or fair consideration for the incurrence of the guarantee;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1"/>
        <w:gridCol w:w="9699"/>
      </w:tblGrid>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&amp;cir;</w:t>
            </w:r>
          </w:p>
        </w:tc>
        <w:tc>
          <w:tcPr>
            <w:tcW w:w="96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was insolvent or rendered insolvent by reason of such incurrence;</w:t>
            </w:r>
          </w:p>
        </w:tc>
      </w:tr>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c>
          <w:tcPr>
            <w:tcW w:w="969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&amp;cir;</w:t>
            </w:r>
          </w:p>
        </w:tc>
        <w:tc>
          <w:tcPr>
            <w:tcW w:w="96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was engaged in a business or transaction for which the subsidiary guarantor’s remaining assets constituted unreasonably small capital; or</w:t>
            </w:r>
          </w:p>
        </w:tc>
      </w:tr>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c>
          <w:tcPr>
            <w:tcW w:w="969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&amp;cir;</w:t>
            </w:r>
          </w:p>
        </w:tc>
        <w:tc>
          <w:tcPr>
            <w:tcW w:w="96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intended to incur, or believed that it would incur, debts beyond its ability to pay those debts as they mature.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payment by that future subsidiary guarantor under a guarantee could be voided and required to be returned to the future subsidiary guarantor or to a fund for the benefit of the creditors of the future subsidiary guarantor.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measures of insolvency for purposes of fraudulent transfer laws vary depending upon the governing law. Generally, a subsidiary guarantor would be considered insolvent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sum of its debts, including contingent liabilities, was greater than the fair saleable value of all of its assets;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present fair saleable value of its assets was less than the amount that would be required to pay its probable liability on its existing debts, including contingent liabilities, as they become absolute and mature;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it could not pay its debts as they become due.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what standard a court would apply in order to determine whether a future subsidiary guarantor was insolvent as of the date it issued the guarantee or whether, regardless of the method of valuation, a court would determine that the future subsidiary guarantor was insolvent on that date;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whether a court would determine that the payments under the guarantee constituted fraudulent transfers or conveyances on other grounds.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guarantee of the notes by any future subsidiary guarantor is voided as a fraudulent conveyance, holders of the notes would effectively be subordinated to all indebtedness and other liabilities of that future subsidiary guarantor.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repurchase the notes upon a Change of Control Triggering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Triggering Event occurs, unless we have exercised our right to redeem the notes in whole, each holder of notes will have the right to require us to repurchase all or any part (equal to $2,000 or an integral multiple of $1,000 in excess thereof) of such holder’s notes on the terms set forth in the notes. We will be required to offer payment in cash equal to 101% of the aggregate principal amount of notes repurchased, plus accrued and unpaid interest, if any, on the notes repurchased to the date of repurchase. See “Description of the Notes — Offer to Repurchase Upon Change of Control Triggering Event.” However, we may not have sufficient funds to make the required repurchase of the notes. If we fail to make or complete a repurchase of the notes in that circumstance, we will be in default under the indenture governing the notes which could have material adverse consequences for us and holders of the notes. If we are required to repurchase a significant portion of the notes, we may require third-party financing. We cannot be sure that we would be able to obtain third-party financing on favorable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circumstances under which a “Change of Control” may occur is upon the sale or disposition of all or substantially all of the properties or assets of us and our subsidiaries taken as a whole. The phrase “all or substantially all” will likely be interpreted under applicable state law and will be dependent upon particular facts or circumstances. As a result, there may be a degree of uncertainty in ascertaining whether a sale or disposition of “all or substantially all” of our properties or assets has occurred, in which case, the ability of a holder of the notes to obtain the benefit of the offer for repurchase of all or a portion of the notes held by such holder may be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our credit ratings may adversely affect the value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outstanding indebtedness, including the notes, from time to time may receive credit ratings from certain credit rating agencies. Such ratings are limited in scope and do not address all risks relating to an investment in the notes, but rather reflect only the view of each rating agency at the time the rating was issued. An explanation of the significance of such ratings may be obtained from such rating agencies. Credit ratings are not a recommendation to buy, sell or hold the notes. There can be no assurance that such credit ratings will remain in effect for any given period of time or that such ratings will not be lowered, suspended or withdrawn entirely by the rating agencies or placed on a so-called “watch list” for a possible downgrade or assigned a negative ratings outlook if, in any rating agency’s judgment, circumstances so warrant. In addition, because we may choose to take actions that adversely affect our credit ratings, such as incurring additional debt or repurchasing shares of our common stock, there can be no guarantee that our credit ratings will not decline during the term of the notes. Actual or anticipated changes or downgrades in our credit ratings, including any announcement that our ratings are under review for a downgrade or have been assigned a negative outlook, could adversely affect the market value of the notes and increase our borrowing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credit ratings may not reflect all risks of your investment in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credit ratings are an assessment by rating agencies of our ability to pay our debts when due. Consequently, real or anticipated changes in our credit ratings will generally affect the market value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credit ratings may not reflect the potential impact of risks relating to structure or marketing of the notes. Agency ratings are not a recommendation to buy, sell or hold any security, and may be revised or withdrawn at any time by the issuing organization. Each agency’s rating should be evaluated independently of any other agency’s rating.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no established trading markets for the notes and none may develop.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no established trading markets for the notes and we do not intend to apply for listing of the notes on any securities exchange or for inclusion of the notes in any automated quotation system. Although the underwriters have advised us that they presently intend to make a market in the notes of each series after completion of the offering, they are under no obligation to do so and may discontinue any market-making activities at any time without notice. Accordingly, we cannot assure the liquidity of any trading market for the notes or that active markets will develop. If active trading markets for the notes do not develop, the market prices and liquidity of the notes may be adversely affected. Even if active markets do develop, they may cease at any time. As a result, you may not be able to resell your notes for an extended period of time, if at all. In addition, if the notes are traded, they may trade at discounts from their initial offering prices, depending on the markets for similar securities, our results of operations and financial condition, general economic conditions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Existing Credit Facility contains financial covenants and covenants that may limit our operations. Our failure to comply with these covenants could result in the acceleration of our obligations under our Existing Credit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Existing Credit Facility contains certain covenants restricting our operations. We are also subject to financial covenants. Our ability to meet the financial covenants or requirements in our Existing Credit Facility may be affected by events beyond our control, and we may not be able to satisfy such covenants and requirements. A breach of these covenants or our inability to comply with the financial ratios, tests or other restrictions contained in our Existing Credit Facility could result in an event of default under our Existing Credit Facility. Upon the occurrence of an event of default, and the expiration of any grace periods, the lenders could elect to declare all amounts outstanding under our Existing Credit Facility, together with accrued interest, to be immediately due and payable. If this were to occur, our assets may not be sufficient to fully repay the amounts due under our Existing Credit Facility or our other indebtedness, including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increase in market interest rates could result in a decrease in the value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as market interest rates rise, notes bearing interest at a fixed rate generally decline in value because the premium, if any, over market interest rates will decline. Consequently, if you purchase notes and market interest rates increase, the market value of your notes may decline.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 w:name="pro_010"/>
      <w:bookmarkEnd w:id="10"/>
      <w:r>
        <w:rPr>
          <w:rFonts w:ascii="Times New Roman;Times;Serif" w:hAnsi="Times New Roman;Times;Serif"/>
          <w:b/>
          <w:i w:val="false"/>
          <w:caps/>
          <w:sz w:val="20"/>
        </w:rPr>
        <w:t>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of this offering will be approximately $1,188.9 million (after deducting the underwriting discounts and estimated offering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the notes to pay down borrowings outstanding on our Existing Credit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we had $1,380.0 million of borrowings outstanding under our Existing Credit Facility. The Existing Credit Facility bore interest at a weighted average interest rate of 5.0% as of April 30, 2026 and matures on June 11, 2031. See “Description of Other HEICO Indebtedness” for additional information on the Existing Credit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temporarily invest funds that are not immediately needed for these purposes in short-term investments, including marketable securities.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underwriters and/or their affiliates are lenders under the Existing Credit Facility and, accordingly, will receive pro rata portions of the net proceeds from this offering used to pay down borrowings outstanding thereunder. Nonetheless, in accordance with the Financial Industry Regulatory Authority, Inc. Rule 5121, the appointment of a qualified independent underwriter is not necessary in connection with this offering. See “Underwriting—Conflicts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1" w:name="pro_011"/>
      <w:bookmarkEnd w:id="11"/>
      <w:r>
        <w:rPr>
          <w:rFonts w:ascii="Times New Roman;Times;Serif" w:hAnsi="Times New Roman;Times;Serif"/>
          <w:b/>
          <w:i w:val="false"/>
          <w:caps/>
          <w:sz w:val="20"/>
        </w:rPr>
        <w:t>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consolidated cash and capitalization on:</w:t>
      </w:r>
    </w:p>
    <w:p>
      <w:pPr>
        <w:pStyle w:val="TextBody"/>
        <w:bidi w:val="0"/>
        <w:spacing w:before="0" w:after="0"/>
        <w:ind w:left="1440" w:right="0" w:hanging="72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170"/>
        <w:gridCol w:w="3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actual basis as of April 30, 2026;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 as adjusted basis as of April 30, 2026 after giving effect to this offering and the use of proceeds as described in this prospectus supplement under “Use of Proceeds.”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table in conjunction with the information contained in “Use of Proceeds,” as well as our consolidated financial statements and the related notes incorporated by reference into this prospectus supplement.</w:t>
      </w:r>
    </w:p>
    <w:p>
      <w:pPr>
        <w:pStyle w:val="TextBody"/>
        <w:bidi w:val="0"/>
        <w:spacing w:before="0" w:after="0"/>
        <w:ind w:left="0" w:right="0" w:firstLine="720"/>
        <w:jc w:val="both"/>
        <w:rPr>
          <w:caps w:val="false"/>
          <w:smallCaps w:val="false"/>
        </w:rPr>
      </w:pPr>
      <w:r>
        <w:rPr>
          <w:caps w:val="false"/>
          <w:smallCaps w:val="false"/>
        </w:rPr>
        <w:t> </w:t>
      </w:r>
    </w:p>
    <w:tbl>
      <w:tblPr>
        <w:tblW w:w="6735" w:type="dxa"/>
        <w:jc w:val="left"/>
        <w:tblInd w:w="0" w:type="dxa"/>
        <w:tblLayout w:type="fixed"/>
        <w:tblCellMar>
          <w:top w:w="0" w:type="dxa"/>
          <w:left w:w="0" w:type="dxa"/>
          <w:bottom w:w="0" w:type="dxa"/>
          <w:right w:w="0" w:type="dxa"/>
        </w:tblCellMar>
      </w:tblPr>
      <w:tblGrid>
        <w:gridCol w:w="4010"/>
        <w:gridCol w:w="60"/>
        <w:gridCol w:w="140"/>
        <w:gridCol w:w="980"/>
        <w:gridCol w:w="95"/>
        <w:gridCol w:w="60"/>
        <w:gridCol w:w="151"/>
        <w:gridCol w:w="1129"/>
        <w:gridCol w:w="110"/>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April 30, 2026</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b/>
                <w:i/>
              </w:rPr>
            </w:pPr>
            <w:r>
              <w:rPr>
                <w:b/>
                <w:i/>
              </w:rPr>
              <w:t>($ in thousands)</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Actual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Adjusted</w:t>
            </w:r>
          </w:p>
        </w:tc>
        <w:tc>
          <w:tcPr>
            <w:tcW w:w="110" w:type="dxa"/>
            <w:tcBorders/>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210,335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9" w:type="dxa"/>
            <w:tcBorders>
              <w:bottom w:val="double" w:sz="10" w:space="0" w:color="000000"/>
            </w:tcBorders>
            <w:shd w:fill="CCEEFF" w:val="clear"/>
            <w:tcMar>
              <w:bottom w:w="28" w:type="dxa"/>
            </w:tcMar>
            <w:vAlign w:val="center"/>
          </w:tcPr>
          <w:p>
            <w:pPr>
              <w:pStyle w:val="TableContents"/>
              <w:bidi w:val="0"/>
              <w:spacing w:before="0" w:after="283"/>
              <w:jc w:val="right"/>
              <w:rPr/>
            </w:pPr>
            <w:r>
              <w:rPr/>
              <w:t>210,335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Current maturities of long-term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3,402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Long-term debt (net of current maturities):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Existing Credit Facility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191,083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leases and notes payable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12,888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12,888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2028 senior unsecured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600,000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2033 senior unsecured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600,000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Debt discount and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(9,000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Offered Notes</w:t>
            </w:r>
            <w:r>
              <w:rPr>
                <w:rFonts w:ascii="Times New Roman;Times;Serif" w:hAnsi="Times New Roman;Times;Serif"/>
                <w:position w:val="7"/>
                <w:sz w:val="16"/>
                <w:sz w:val="20"/>
              </w:rPr>
              <w:t>(2)</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4.950% Notes due 2031, offered hereby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5.400% Notes due 2036, offered hereby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Total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2,587,290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2,598,373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Total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4,854,917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4,854,917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Total capitalization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7,442,207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29"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r>
              <w:rPr/>
              <w:t>7,453,290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260"/>
        <w:gridCol w:w="312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current maturities of $3,402.</w:t>
            </w:r>
          </w:p>
        </w:tc>
      </w:tr>
    </w:tbl>
    <w:tbl>
      <w:tblPr>
        <w:tblW w:w="7105" w:type="dxa"/>
        <w:jc w:val="left"/>
        <w:tblInd w:w="0" w:type="dxa"/>
        <w:tblLayout w:type="fixed"/>
        <w:tblCellMar>
          <w:top w:w="0" w:type="dxa"/>
          <w:left w:w="0" w:type="dxa"/>
          <w:bottom w:w="0" w:type="dxa"/>
          <w:right w:w="0" w:type="dxa"/>
        </w:tblCellMar>
      </w:tblPr>
      <w:tblGrid>
        <w:gridCol w:w="260"/>
        <w:gridCol w:w="684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845" w:type="dxa"/>
            <w:tcBorders/>
            <w:vAlign w:val="center"/>
          </w:tcPr>
          <w:p>
            <w:pPr>
              <w:pStyle w:val="TableContents"/>
              <w:bidi w:val="0"/>
              <w:spacing w:before="0" w:after="283"/>
              <w:jc w:val="both"/>
              <w:rPr/>
            </w:pPr>
            <w:r>
              <w:rPr/>
              <w:t>Includes the underwriters’ discounts and fees of approximately $11,083.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pro_012"/>
      <w:bookmarkEnd w:id="12"/>
      <w:r>
        <w:rPr>
          <w:rFonts w:ascii="Times New Roman;Times;Serif" w:hAnsi="Times New Roman;Times;Serif"/>
          <w:b/>
          <w:i w:val="false"/>
          <w:caps/>
          <w:sz w:val="20"/>
        </w:rPr>
        <w:t>Description of Other HEICO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Existing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6, 2017, the Company entered into that certain revolving credit agreement (the “Existing Credit Facility”) with a bank syndicate. The Existing Credit Facility may be used to finance acquisitions and for working capital and other general corporate purposes, including capital expenditures. In December 2020, the Company entered into an amendment to increase the capacity by $200 million to $1.5 billion. In April 2022, the Company entered into a second amendment to extend the maturity date of its Existing Credit Facility by one year to November 2024 and to replace the Eurocurrency Rate with Adjusted Term SOFR as an election for the reference rate at which borrowings under the Existing Credit Facility may accrue interest, as such capitalized terms are defined in the Existing Credit Facility. In July 2023, the Company entered into a third amendment to, among other things, (i) increase the capacity by $500 million to $2.0 billion, (ii) extend the maturity date to July 2028, and (iii) increase the applicable rate with respect to certain total leverage ratio tiers in the pricing grid. In June 2026, the Company entered into a fourth amendment to, among other things, (i) increase the capacity by $200 million to $2.2 billion, (ii) extend the maturity date of its Existing Credit Facility to June 11, 2031, (iii) modify the applicable rate to be calculated based upon the most recently published ratings for the Company’s senior unsecured, non-credit enhanced, long-term indebtedness for borrowed money, and (iv) release each subsidiary of the Company that had guaranteed the Obligations prior to June 11, 2026 (“Released Subsidiary”) from such subsidiary’s guarantee obligations under the Existing Credit Facility (“Credit Facility Release”).</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for borrowings under the Existing Credit Facility to accrue interest at Term SOFR for the elected interest period, or a Base Rate, plus in each case, the Applicable Rate (based on the Company’s Index Debt Rating). Term SOFR shall never be less than 0%. The Base Rate for any day is a fluctuating rate per annum equal to the highest of (i) the rate of interest in effect for such day as publicly announced from time to time by Truist Bank as its prime lending rate; (ii) the Federal Funds Rate plus 0.50%; and (iii) Term SOFR for an Interest Period of one month plus 100 basis points; provided that the Base Rate shall never be less than 0%. The Applicable Rate for SOFR Loans ranges from 0.75% to 1.250%. The Applicable Rate for Base Rate Loans ranges from 0.0% to 0.25%. A fee is charged on the amount of the unused commitment ranging from 0.09% to 0.20%. In addition, we may also elect for borrowings under the Existing Credit Facility to accrue interest at Daily Simple RFR plus the Applicable Rate for RFR Loans, or the SOFR Index Rate plus the Applicable Rate for SOFR Loans. Eurocurrency Rate Loans accrue interest at the Adjusted Eurocurrency Rate for the elected interest period plus the Applicable Rate for Eurocurrency Rate Loans. The Existing Credit Facility also includes a $200 million sublimit for swingline borrowings, a $200 million sublimit for letters of credit and a $100 million sublimit for borrowings made in foreign currencies. Outstanding principal, accrued and unpaid interest and other amounts payable under the Existing Credit Facility may be accelerated upon an event of default, as such events are described in the Existing Credit Facility. The Existing Credit Facility is unsecured and contains covenants that require, among other things, the maintenance of a Total Leverage Ratio. As used in this paragraph and the immediately preceding paragraph capitalized terms shall have the meanings ascribed to them in the Existing Credit Facility.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borrowings under the Existing Credit Facility mature in June 2031. As of April 30, 2026 and October 31, 2025, the weighted average interest rate on borrowings under the Existing Credit Facility was 5.0% and 5.3%,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Unsecured Notes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we completed the public offer and sale of senior unsecured notes, which consisted of $600 million principal amount of 5.25% Senior Notes due August 1, 2028 (the “2028 Notes”) and $600 million principal amount of 5.35% Senior Notes due August 1, 2033 (the “2033 Notes”). Interest on the Existing Senior Notes is payable semiannually in arrears on February 1 and August 1 of each year, and commenced on February 1, 2024. The 2028 Notes and 2033 Notes each have an effective interest rate of 5.5%. As a result of the Credit Facility Release, each Released Subsidiary was also automatically released from such Released Subsidiary’s guarantee of its obligations under the Existing Senior Notes.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3" w:name="pro_013"/>
      <w:bookmarkEnd w:id="13"/>
      <w:r>
        <w:rPr>
          <w:rFonts w:ascii="Times New Roman;Times;Serif" w:hAnsi="Times New Roman;Times;Serif"/>
          <w:b/>
          <w:i w:val="false"/>
          <w:caps/>
          <w:sz w:val="20"/>
        </w:rPr>
        <w:t>Description of The Notes</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summary herein of certain provisions of the indenture does not purport to be complete and is subject to, and is qualified in its entirety by reference to, all the provisions of the indenture, which has been filed as an exhibit to the registration statement of which this prospectus supplement forms a part. The following description of the particular terms of the notes supplements the description of the general terms and provisions of the debt securities set forth under “Description of Debt Securities” beginning on page 9 of the accompanying prospectus.</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find the definitions of certain terms used in this description under “— Certain Definitions.” Defined terms used in this description but not defined below under “— Certain Definitions” or elsewhere in this description have the meanings assigned to them in the indenture (as defined below). In this description, the “Company,” “us,” “we” and “our” refer only to HEICO Corporation, and not any of its subsidiaries, except where the context requires otherwise.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our 4.950% notes due 2031 (the “2031 notes”) and 5.400% notes due 2036 (the “2036 notes” and, together with the 2031 notes, the “notes”) under an indenture, to be dated as of July 16, 2026 (the “base indenture”), between the Company and Truist Bank (the “Trustee”), as supplemented by a first supplemental indenture, to be dated as of July 16, 2026, between the Company and the Trustee, as it may be further supplemented from time to time (the base indenture, as so supplemented, the “indenture”).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the material provisions of the notes and the indenture and it is intended to supplement and, to the extent of any inconsistencies, replace the description of the general terms and provisions of debt securities set forth in the accompanying prospectus, to which we refer you. It does not restate that agreement in its entirety. We urge you to read the indenture because it contains additional information that may be of importance to you. A form of the indenture has been filed as an exhibit to the registration statement of which this prospectus supplement is a part and can be obtained as indicated under “Where You Can Find Additional Information.” The indenture contains provisions that define your rights under the notes. In addition, the indenture governs our obligations under the notes. The terms of the notes include those stated in the indenture and those made part of the indenture by reference to the Trust Indenture Act of 1939, as amended.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of the notes will be issued as a new and separate series under the indenture, with the 2031 notes in an initial aggregate principal amount of $550 million and the 2036 notes in an initial aggregate principal amount of $650 million.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senior unsecured obligations of the Company only and will rank equally with all other unsecured and unsubordinated indebtedness from time to time outstanding of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initially will not be guaranteed by any of our subsidiaries. However, if, in the future, any of our subsidiaries guarantees our Existing Senior Notes, any such subsidiary would be required to also guarantee the notes on a senior unsecured basis.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notes only in fully registered form without coupons, in minimum denominations of $2,000 and integral multiples of $1,000 in excess thereof. The Trustee will initially act as paying agent and registrar for the notes. The notes may be presented for registration of transfer and exchange at the offices of the registrar, which initially will be the Trustee’s corporate trust office. We may change any paying agent and registrar without notice to holders of the notes and we may act as paying agent or registrar. We will pay principal (and premium, if any) on the notes at the Trustee’s corporate trust office in the contiguous United States. At our option, interest may be paid at the Trustee’s corporate trust office or by check mailed to the registered address of the holders.</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S-14</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limit the aggregate principal amount of debt securities that may be issued under it and provides that debt securities may be issued under it from time to time in one or more series; provided that any additional notes will not be issued with the same CUSIP as existing notes unless such additional notes are fungible with the existing notes for U.S. federal income tax purposes. Except as described below under “— Certain Covenants,” the indenture does not include covenants restricting our ability to enter into a highly leveraged transaction, including a reorganization, restructuring, merger or similar transaction involving us that may adversely affect the holders of the notes, if such transaction is a permissible consolidation, merger or similar transaction. In addition, except as described below under “— Offer to Repurchase Upon Change of Control Triggering Event,” the indenture does not afford the holders of the notes of any series the right to require us to repurchase or redeem the notes of that series in the event of a highly leveraged transaction. See “— Consolidation, Merger and Sale of Assets.”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significant operations conducted through our subsidiaries. Accordingly, our cash flow and the consequent ability to service our debt, including the notes, are substantially dependent upon the earnings of our subsidiaries and the distribution of those earnings to us, whether by dividends, loans or otherwise. The payment of dividends and the making of loans and advances to us by our subsidiaries may be subject to statutory or contractual restrictions, are contingent upon the earnings of those subsidiaries and are subject to various business considerations. Any right we have to receive assets of any of our subsidiaries upon their liquidation or reorganization (and the consequent right of the holders of the notes to participate in those assets) will be effectively subordinated to the claims of that subsidiary’s creditors (including trade creditors), except to the extent that we are recognized as a creditor of such subsidiary, in which case our claims would still be subordinate to any security interests in the assets of such subsidiary and any indebtedness of such subsidiary senior to that held by us.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Maturity and Interest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mature on August 1, 2031 in the case of the 2031 notes and August 1, 2036 in the case of the 2036 notes. Interest on the notes will accrue at the rate of 4.950% per annum in the case of the 2031 notes and 5.400% per annum in the case of the 2036 notes. Interest on the notes will be payable semiannually in arrears on February 1 and August 1, commencing on February 1, 2027. We will pay interest to those Persons who were holders of record on January 15 and July 15, as the case may be, immediately preceding each interest payment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notes will accrue from the Issue Date or, if interest has already been paid, from the date it was most recently paid. Such interest will be computed on the basis of a 360-day year comprised of twelve 30-day months.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interest payment date for the notes falls on a date that is not a business day, then interest will be paid on the next day that is a business day, and no interest on such payment will accrue for the period from and after such interest payment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maturity date for any note falls on a date that is not a business day, the related payments of principal, premium, if any, and interest may be made on the next succeeding business day, and no additional interest will accumulate on the amount payable for the period from and after the maturity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Issuances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without notice to or consent of the holders of notes, create additional notes under the indenture. These additional notes would have substantially the same terms as the notes offered hereby in all respects (or in all respects except in some cases for the payment of interest accruing prior to the Issue Date (as defined below) of the additional notes or except for the first payment of interest following the Issue Date of the additional notes) so that the additional notes may be consolidated and form a single series with the notes offered hereby.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S-15</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senior unsecured obligations of the Company. The payment of the principal of, premium, if any, and interest on the notes will:</w:t>
      </w:r>
    </w:p>
    <w:p>
      <w:pPr>
        <w:pStyle w:val="TextBody"/>
        <w:bidi w:val="0"/>
        <w:spacing w:before="0" w:after="0"/>
        <w:ind w:left="0" w:right="0" w:firstLine="48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170"/>
        <w:gridCol w:w="73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rank equally in right of payment with all of our existing and future senior indebtedness;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rank senior in right of payment to all of our existing and future subordinated indebtedness;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structurally subordinated to all liabilities (including trade payables) of our existing and future subsidiaries that do not guarantee the notes;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effectively subordinated to our and our subsidiary guarantors’ (if any) existing and future secured indebtedness to the extent of the value of the collateral securing such indebtedness.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before giving effect to the issuance of the notes and the use of proceeds therefrom we had approximately $2,587.3 million aggregate principal amount of indebtedness, none of which is secured indebtedness.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Optional Redemption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of notes will be redeemable at any time prior to the applicable Par Call Date (as defined below), as a whole or in part, at our option, on at least 10 days’, but not more than 60 days’, prior notice mailed to the registered address of each holder of the notes to be redeemed, at a redemption price (expressed as a percentage of principal amount and rounded to three decimal places) equal to the greater of:</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 sum of the present values of the remaining scheduled payments of principal and interest thereon discounted to the redemption date (assuming the notes matured on the applicable Par Call Date) on a semi-annual basis (assuming a 360-day year consisting of twelve 30-day months) at the Treasury Rate plus 10 basis points, in the case of the 2031 notes, and 15 basis points, in the case of the 2036 notes, less (b) interest accrued to the date of redemption, and</w:t>
            </w:r>
          </w:p>
        </w:tc>
      </w:tr>
    </w:tbl>
    <w:p>
      <w:pPr>
        <w:pStyle w:val="TextBody"/>
        <w:bidi w:val="0"/>
        <w:spacing w:before="0" w:after="0"/>
        <w:ind w:left="960" w:right="0" w:hanging="480"/>
        <w:jc w:val="both"/>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38"/>
        <w:gridCol w:w="17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pPr>
            <w:r>
              <w:rPr/>
              <w:t>100% of the principal amount of the notes to be redeemed,</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if any, on the principal amount of the notes to be redeemed to, but excluding, the redemption date. Each series of notes will be redeemable at any time on or after the applicable Par Call Date, as a whole or in part, at our option, on at least 10 days’, but not more than 60 days’, prior notice mailed to the registered address of each holder of the series of notes to be redeemed, at a redemption price equal to 100% of the principal amount of the notes to be redeemed, plus accrued and unpaid interest, if any, on the principal amount of the notes to be redeemed to, but excluding, the redemption date.</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July 1, 2031, in the case of the 2031 notes (one month prior to maturity), and May 1, 2036, in the case of the 2036 notes (three months prior to maturity).</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yield determined by us in accordance with the following two paragraphs.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S-16</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In determining the Treasury Rate, we will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will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or any successor designation or publication is no longer published, we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will select the United States Treasury security with a maturity date preceding the applicable Par Call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two or more United States Treasury securities maturing on the applicable Par Call Date or two or more United States Treasury securities meeting the criteria of the preceding sentence, we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actions and determinations in determining the redemption price will be conclusive and binding for all purposes, absent manifest error. The Trustee will have no obligation to calculate or verify the calculation of the redemption price payable on the notes.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send by electronic delivery or mail otherwise in accordance with the procedures of DTC notice of any redemption at least 10 days but not more than 60 days before the redemption date to each holder of the series of notes to be redeemed. Once the notice of redemption is sent, the notes called for redemption will become due and payable on the redemption date and at the applicable redemption price, plus accrued and unpaid interest to the redemption date, subject to any conditions precedent specified in such notice. If such redemption is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 We will notify holders of any such rescission as soon as practicable after we determine that such conditions precedent will not be able to be satisfied or we are not able or willing to waive such conditions precedent. In addition, we may provide in such notice that payment of the redemption price and performance of our obligations with respect to such redemption may be performed by another Person.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S-17</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partial redemption of a series of notes, selection of the notes of such series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under “— Offer to Repurchase Upon Change of Control Triggering Event,” the notes will not be entitled to the benefit of any mandatory redemption, repurchase or sinking fund.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Company defaults in payment of the redemption price, on and after the redemption date interest will cease to accrue on the notes or portions thereof called for redemption.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Mandatory Redemption; Offers to Purchase; Open Market Purchases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required to make any mandatory redemption or sinking fund payments with respect to the notes. In addition, other than as required under “Offer to Repurchase Upon Change of Control Triggering Event,” we will not be required to offer to repurchase or redeem or otherwise modify the terms of any of the notes upon a change in control of, or other events involving, us or any of our subsidiaries which may adversely affect the creditworthiness of the notes. We and our affiliates may at any time and from time to time acquire the notes by means other than a redemption, whether pursuant to a tender offer, purchases in the open market, in privately negotiated transactions or otherwise.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 to Repurchase Upon Change of Control Triggering Event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Triggering Event occurs, unless we have exercised our right to redeem the notes in whole as described above, each holder of notes will have the right to require us to repurchase all or any part (equal to $2,000 or an integral multiple of $1,000 in excess thereof) of such holder’s notes pursuant to the offer described below (the “Change of Control Offer”) on the terms set forth in the notes. In the Change of Control Offer, we will be required to offer payment in cash equal to 101% of the aggregate principal amount of notes repurchased, plus accrued and unpaid interest, if any, on the notes repurchased to the date of purchase (the “Change of Control Payment”).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30 days following any Change of Control Triggering Event or, at our option, prior to any Change of Control but after the public announcement of the pending Change of Control, we will send a notice to holders of notes describing the transaction or transactions that constitute the Change of Control Triggering Event and offering to repurchase the notes on the date specified in the notice, which date will be no earlier than 30 days and no later than 60 days from the date such notice is sent (the “Change of Control Payment Date”), pursuant to the procedures required by the notes and described in such notice. The notice, if sent prior to the date of consummation of the Change of Control, will state that the Change of Control Offer is conditioned on the Change of Control being consummated on or prior to the Change of Control Payment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Change of Control Payment Date, we will be required, to the extent lawful, to:</w:t>
      </w:r>
    </w:p>
    <w:p>
      <w:pPr>
        <w:pStyle w:val="TextBody"/>
        <w:bidi w:val="0"/>
        <w:spacing w:before="0" w:after="0"/>
        <w:ind w:left="0" w:right="0" w:firstLine="480"/>
        <w:jc w:val="both"/>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170"/>
        <w:gridCol w:w="875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accept for payment all notes or portions of notes properly tendered pursuant to the Change of Control Offer;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deposit with the paying agent an amount equal to the Change of Control Payment in respect of all notes or portions of notes properly tendered;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deliver or cause to be delivered to the Trustee the notes properly accepted together with an Officer’s Certificate stating the aggregate principal amount of notes or portions of notes being repurchased.</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S-18</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required to make a Change of Control Offer with respect to the notes if a third party makes such an offer in the manner, at the times and otherwise in compliance with the requirements for such an offer made by us and such third party purchases all the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on the Change of Control Payment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not less than 90% in aggregate principal amount of the outstanding notes validly tender and do not withdraw such notes in a Change of Control Offer and we, or any third party making a Change of Control Offer in lieu of us, as described above, purchases all of the notes validly tendered and not withdrawn by such holders, we will have the right, upon not less than 30 nor more than 60 days’ prior notice, given not more than 30 days following such purchase pursuant to the Change of Control Offer described above, to redeem all notes that remain outstanding following such purchase at a redemption price in cash equal to 101% of the principal amount thereof, plus accrued and unpaid interest, if any, to, but excluding, the date of redemption (subject to the right of holders of record on a record date to receive interest on the relevant interest payment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 of Change of Control includes a phrase relating to the direct or indirect sale, lease, transfer, conveyance or other disposition of “all or substantially all” of the properties or assets of us and our subsidiaries taken as a whole. Although there is a limited body of case law interpreting the phrase “substantially all,” there is no precise established definition of the phrase under applicable law. Accordingly, the ability of a holder of notes to require us to repurchase its notes as a result of a sale, lease, transfer, conveyance or other disposition of less than all of the assets of us and our subsidiaries taken as a whole to another Person or group may be uncertain.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Offer is made, there can be no assurance that we will have available funds sufficient to make the Change of Control Payment for all of the notes that may be tendered for repurchase.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provisions of the notes, we will be required to comply with the applicable securities laws and regulations and will not be deemed to have breached our obligations under the Change of Control provisions of the notes by virtue of any such conflict.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discussion of the Change of Control Offer provisions of the notes, the following definitions are applicable: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 of Control” means the occurrence of any of the following after the date of issuance of the notes: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 or indirect sale, lease, transfer, conveyance or other disposition (other than by way of merger or consolidation), in one or a series of related transactions, of all or substantially all of the properties or assets of us and our subsidiaries taken as a whole to any “person” or “group” (as those terms are used in Section 13(d)(3) of the Exchange Act) other than to us or one of our subsidiaries;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S-19</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consummation of any transaction (including, without limitation, any merger or consolidation) the result of which is that any “person” or “group” (as those terms are used in Section 13(d)(3) of the Exchange Act) becomes the “beneficial owner” (as defined in Rules 13d-3 and 13d-5 of the Exchange Act), directly or indirectly, of our Voting Stock representing a majority of the voting power of our then outstanding Voting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consolidate with, or merge with or into, any Person, or any Person consolidates with, or merges with or into, us, in any such event pursuant to a transaction in which any of our outstanding Voting Stock or Voting Stock of such other Person is converted into or exchanged for cash, securities or other property, other than any such transaction where our Voting Stock outstanding immediately prior to such transaction constitutes, or is converted into or exchanged for, Voting Stock representing a majority of the voting power of the Voting Stock of the surviving Person immediately after giving effect to such transaction;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7053" w:type="dxa"/>
        <w:jc w:val="left"/>
        <w:tblInd w:w="0" w:type="dxa"/>
        <w:tblLayout w:type="fixed"/>
        <w:tblCellMar>
          <w:top w:w="0" w:type="dxa"/>
          <w:left w:w="0" w:type="dxa"/>
          <w:bottom w:w="0" w:type="dxa"/>
          <w:right w:w="0" w:type="dxa"/>
        </w:tblCellMar>
      </w:tblPr>
      <w:tblGrid>
        <w:gridCol w:w="38"/>
        <w:gridCol w:w="170"/>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adoption by our stockholders of a plan relating to our liquidation or dissolution.</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transaction (or series of related transactions) will not be deemed to involve a change of control under clause (2) above if (i) we become a direct or indirect wholly-owned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or “group” (as those terms are used in Section 13(d)(3) of the Exchange Act) (other than a holding company satisfying the requirements of this sentence) is the beneficial owner (as defined in Rules 13d-3 and 13d-5 of the Exchange Act), directly or indirectly, of more than 50% of the Voting Stock of such holding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 of Control Triggering Event” means, with respect to a series of notes, the rating of such notes is lowered by at least two of the three Rating Agencies below Investment Grade on any date during the period (the “Trigger Period”) commencing on the earlier of (a) the occurrence of a Change of Control and (b) the first public announcement by us of any Change of Control (or pending Change of Control), and ending 60 days following consummation of such Change of Control (which Trigger Period will be extended following consummation of a Change of Control for so long as any of the Rating Agencies has publicly announced that it is considering a possible ratings change); provided that a Change of Control Triggering Event will not be deemed to have occurred in respect of a particular Change of Control if each applicable Rating Agency making the reduction in rating does not publicly announce or confirm or inform the Trustee at our or its request that the reduction was the result, in whole or in part, of any event or circumstance comprised of or arising as a result of, or in respect of, the Change of Control.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Change of Control Triggering Event will be deemed to have occurred in connection with any particular Change of Control unless and until such Change of Control has actually been consummated.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Fitch” means Fitch Ratings Inc., or any successor to the rating agency business thereof.</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Investment Grade” means a rating of Baa3 or better by Moody’s (or its equivalent under any successor rating category of Moody’s) and a rating of BBB- or better by S&amp;P and Fitch (or its equivalent under any successor rating category of S&amp;P or Fitch, as applicable), and the equivalent investment grade credit rating from any replacement rating agency or rating agencies selected by us under the circumstances permitting us to select a replacement rating agency and in the manner for selecting a replacement rating agency, in each case as set forth in the definition of “Rating Agency.”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Moody’s” means Moody’s Investors Service, Inc., a subsidiary of Moody’s Corporation, and its successors.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S-20</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Rating Agency” means each of Fitch, Moody’s and S&amp;P; provided, that if Fitch, Moody’s or S&amp;P ceases to provide rating services to issuers or investors, we may appoint another “nationally recognized statistical rating organization” within the meaning of Section 3(a)(62) under the Exchange Act as a replacement for such Rating Agency; provided further, that we give notice of such appointment to the Trustee.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S&amp;P” means Standard &amp; Poor’s Ratings Services, a Standard &amp; Poor’s Financial Services LLC business, and its successors.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Voting Stock” of any specified Person as of any date means the capital stock of such Person that is at the time entitled to vote generally in the election of the board of directors of such Person.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on Secured Debt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neither we nor any Restricted Subsidiary will create, incur, issue, assume or guarantee any indebtedness for borrowed money secured by a mortgage, security interest, pledge or lien (which we refer to herein, collectively, as a “mortgage”) on or upon any Principal Property or any capital stock or indebtedness of any Restricted Subsidiary that owns any Principal Property, whether owned at the date of the indenture or acquired after the date of the indenture, without ensuring that the notes (together with, if we decide, any other indebtedness created, incurred, issued, assumed or guaranteed by us or any Restricted Subsidiary that owns Principal Property then existing or thereafter created) will be secured by such mortgage equally and ratably with (or, at our option, prior to) such indebtedness, so long as such indebtedness shall be so secured. This restriction will not apply to indebtedness secured by any of the following:</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pPr>
            <w:r>
              <w:rPr/>
              <w:t>mortgages existing on the Issue Date;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mortgages on any property acquired, constructed or improved by, or on any capital stock or indebtedness acquired by, us or any Restricted Subsidiary after the date of the indenture to (i) secure the payment of all or any part of the purchase price of such property, capital stock or indebtedness upon the acquisition thereof or (ii) secure indebtedness incurred, assumed or guaranteed for the purpose of financing or refinancing all or any part of the purchase price of such property, capital stock or indebtedness or of the cost of any construction or improvements on such properties, in each case, to the extent that the indebtedness is incurred, assumed or guaranteed prior to or within 365 days after the later of the applicable acquisition, construction or improvement of such property, as the case may be, provided, that in the case of any such acquisition, construction or improvement the mortgage shall not apply to any property, capital stock or indebtedness theretofore owned by us or any Restricted Subsidiary, other than, in the case of any such construction or improvement, any theretofore unimproved or substantially unimproved real property on which the property so constructed or the improvement is located;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except to the extent created in anticipation of the acquisition of any Person, mortgages on any property, capital stock or indebtedness existing at the time we or any Restricted Subsidiary acquire any of such Person;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except to the extent created in anticipation of the merger or consolidation with any Person, mortgages on property of a Person existing at the time we or any Restricted Subsidiary merge or consolidate with such Person or at the time we or any Restricted Subsidiary acquire all or substantially all of the properties of such Person;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mortgages on any property of, or capital stock or indebtedness of, a Person existing at the time such Person becomes a Restricted Subsidiary;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S-21</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mortgages to secure indebtedness of any Restricted Subsidiary to us or another Restricted Subsidiary or Subsidiary;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mortgages in favor of certain governmental bodies to secure partial, progress, advance or other payments pursuant to any contract or statute or to secure indebtedness incurred or guaranteed to finance or refinance all or any part of the purchase price of the property, capital stock or indebtedness subject to such mortgages, or the cost of constructing or improving the property subject to such mortgage;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mortgages for taxes not yet due or that are being contested in good faith by appropriate proceedings, provided that adequate reserves with respect thereto are maintained on our books in conformity with generally accepted accounting principles;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mortgages imposed by law, such as carriers’, warehousemen’s, mechanics’, materialmen’s, repairmen’s or other like mortgages arising in the ordinary course of business that are not overdue for a period of more than 30 days or that are being contested in good faith by appropriate proceedings;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mortgages to secure the performance of bids, trade contracts, leases, statutory obligations, surety and appeal bonds, performance bonds and other obligations of a like nature incurred in the ordinary course of business;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7405" w:type="dxa"/>
        <w:jc w:val="left"/>
        <w:tblInd w:w="0" w:type="dxa"/>
        <w:tblLayout w:type="fixed"/>
        <w:tblCellMar>
          <w:top w:w="0" w:type="dxa"/>
          <w:left w:w="0" w:type="dxa"/>
          <w:bottom w:w="0" w:type="dxa"/>
          <w:right w:w="0" w:type="dxa"/>
        </w:tblCellMar>
      </w:tblPr>
      <w:tblGrid>
        <w:gridCol w:w="75"/>
        <w:gridCol w:w="170"/>
        <w:gridCol w:w="71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pPr>
            <w:r>
              <w:rPr/>
              <w:t>mortgages in favor of only us or one or more of our Restricted Subsidiaries;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mortgages in favor of the Trustee securing indebtedness owed under the indenture to the Trustee and granted in accordance with the indenture;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mortgages to secure (i) interest rate swap agreements (whether from fixed to floating or from floating to fixed), interest rate cap agreements and interest rate collar agreements; (ii) other agreements or arrangements designed to manage interest rates or interest rate risk; (iii) other agreements or arrangements designed to protect against fluctuations in currency exchange rates or commodity prices; and (iv) other agreements or arrangements designed to protect against fluctuations in equity prices;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judgment liens, so long as the finality of such judgment is being contested in good faith and execution thereon is stayed;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easements or similar encumbrances, the existence of which does not impair the use of the property subject thereto for the purposes for which it is held or was acquired;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leases and landlords’ mortgages on fixtures and movable property located on premises leased in the ordinary course of business, so long as the rent secured thereby is not in default;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extensions, renewals or replacements of any mortgage existing on the date of the indenture or any mortgage referred to above; however, the principal amount of indebtedness secured thereby may not exceed the principal amount of indebtedness so secured at the time of such extension, renewal or replacement, and such extension, renewal or replacement will be limited to all or a part of the property (plus improvements and construction on such property), capital stock or indebtedness which was subject to the mortgage so extended, renewed or replaced;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both"/>
              <w:rPr/>
            </w:pPr>
            <w:r>
              <w:rPr/>
              <w:t>other liens permitted under the Credit Agreement.</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S-22</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restriction outlined above, we or any Restricted Subsidiary may, without having to equally and ratably secure the notes, issue, assume or guarantee indebtedness secured by a mortgage not excepted from the restriction if the total amount of the following does not at the time exceed the greater of (i) 15% of Consolidated Net Tangible Assets and (ii) $300.0 million:</w:t>
      </w:r>
    </w:p>
    <w:p>
      <w:pPr>
        <w:pStyle w:val="TextBody"/>
        <w:bidi w:val="0"/>
        <w:spacing w:before="0" w:after="0"/>
        <w:ind w:left="0" w:right="0" w:firstLine="48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75"/>
        <w:gridCol w:w="170"/>
        <w:gridCol w:w="225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both"/>
              <w:rPr/>
            </w:pPr>
            <w:r>
              <w:rPr/>
              <w:t>such indebtedness; plus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all other indebtedness that we and our Restricted Subsidiaries have incurred or have guaranteed existing at such time and secured by mortgages not so excepted; plus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9603" w:type="dxa"/>
        <w:jc w:val="left"/>
        <w:tblInd w:w="0" w:type="dxa"/>
        <w:tblLayout w:type="fixed"/>
        <w:tblCellMar>
          <w:top w:w="0" w:type="dxa"/>
          <w:left w:w="0" w:type="dxa"/>
          <w:bottom w:w="0" w:type="dxa"/>
          <w:right w:w="0" w:type="dxa"/>
        </w:tblCellMar>
      </w:tblPr>
      <w:tblGrid>
        <w:gridCol w:w="38"/>
        <w:gridCol w:w="17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both"/>
              <w:rPr/>
            </w:pPr>
            <w:r>
              <w:rPr/>
              <w:t>the Attributable Debt existing in respect of Sale and Lease-Back Transactions existing at such time.</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Attributable Debt with respect to the following types of Sale and Lease-Back Transactions will not be included for the purposes of calculating Attributable Debt in the preceding sentence:</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Sale and Lease-Back Transactions in respect of which an amount (equaling at least the greater of the net proceeds of the sale of property or the fair market value of the property) is used within 365 days after the effective date of the arrangement to make non-mandatory prepayments on unsubordinated long-term indebtedness, retire unsubordinated long-term indebtedness or acquire, construct or improve a manufacturing plant or facility which is, or upon completion will be, a Principal Property;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Sale and Lease-Back Transactions in which the property involved would have been permitted to be mortgaged under the first or sixth bullet point of the first paragraph under this heading.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on Sale and Lease-Back Transactions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neither we nor any Restricted Subsidiary will enter into any Sale and Lease-Back Transaction with respect to any Principal Property unless: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or such Restricted Subsidiary are entitled under the provisions described in the first or sixth bullet point in the first paragraph under “— Restrictions on Secured Debt” to create, issue, assume or guarantee indebtedness secured by a mortgage on the property to be leased without having to equally and ratably secure the notes;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or such Restricted Subsidiary are entitled under the provisions described in the last paragraph under “— Restrictions on Secured Debt” to create, issue, assume or guarantee indebtedness secured by a mortgage on such property in an amount at least equal to the Attributable Debt in respect of the Sale and Lease-Back Transaction without having to equally and ratably secure the notes;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apply an amount (equaling at least the greater of the net proceeds of the sale of property or the fair market value of the property) within 365 days after the effective date of the arrangement to make non-mandatory prepayments on Funded Debt, retire Funded Debt or acquire, construct or improve a manufacturing plant or facility which is, or upon completion will be, a Principal Property.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subsidiary guarantees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obligations under the notes initially will not be guaranteed by any of our subsidiaries. However, the indenture provides that if, after the Issue Date, any Existing Senior Notes become guaranteed by any of our subsidiaries then, if such subsidiary is not already a subsidiary guarantor, we will cause such subsidiary within 30 days after such subsidiary guarantees the Existing Senior Notes to (a) execute and deliver to the Trustee a supplemental indenture pursuant to which such subsidiary will fully and unconditionally guarantee all of our obligations under the indenture and (b) deliver to the Trustee an opinion of counsel to the effect that (i) such supplemental indenture and guarantee of the notes has been duly authorized, executed and delivered, (ii) such supplemental indenture and guarantee of the notes constitutes a valid, binding and enforceable obligation of such subsidiary, except insofar as enforcement thereof may be limited by bankruptcy, insolvency or similar laws and except insofar as enforcement thereof is subject to general principles of equity and (iii) such supplemental indenture complies with the terms of the indenture.</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Subsidiary guarantees, if any, will rank equally in right of payment with all existing and future liabilities of the applicable subsidiary guarantor that are not subordinated. Each subsidiary guarantee will effectively rank junior to any secured indebtedness of its respective subsidiary guarantor to the extent of the value of the collateral securing such indebtedness. Under the terms of any subsidiary guarantee, holders of the notes will not be required to exercise their remedies against us before they proceed directly against the subsidiary guarantors.</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indenture, if in the future a subsidiary is required to provide a guarantee of the notes because it guarantees the Existing Senior Notes, holders of the notes will be deemed to have consented to the release of such future guarantee provided by a subsidiary guarantor, without any action required on the part of the trustee or any holder of the notes, upon such subsidiary guarantor ceasing to guarantee the Existing Senior Notes. Under the Existing Indenture, if the lenders under the Credit Agreement release a subsidiary guarantor from its guarantee of, or obligations as a borrower under, the Credit Agreement, the obligations of such subsidiary guarantor to guarantee the Existing Senior Notes will immediately terminate, and accordingly, the obligations of such subsidiary guarantor to guarantee the notes will also immediately terminate. We will give prompt written notice to the Trustee of the release of any subsidiary guarantor.</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subsidiary guarantor will be released and relieved from all its obligations under its subsidiary guarantee in the following circumstances, each of which is permitted by the indenture:</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the sale or other disposition (including by way of consolidation or merger), in one transaction or a series of related transactions, of a majority of the total Voting Stock of such subsidiary guarantor (other than to us or any of our affiliates);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the sale or disposition of all or substantially all the property of such subsidiary guarantor (other than to any of our affiliates or another subsidiary guarantor);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each case, such transaction is permitted by the Credit Agreement and after giving effect to such transaction, such subsidiary guarantor is no longer liable for any subsidiary guarantee or other obligations in respect of the Existing Senior Notes.</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subsidiary guarantee of a subsidiary guarantor also will be released if we exercise our legal defeasance, covenant defeasance option or discharge the indenture, each as described under “—Defeasance.” At our written instruction, the Trustee will execute and deliver any documents, instructions or instruments evidencing any such release.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S-24</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and Sale of Assets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we may not consolidate with or merge into any other person, or convey, transfer or lease all or substantially all of our assets, unless: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 we are the surviving person or (ii) the resulting, surviving or transferee person, if other than us is a corporation organized under the laws of the United States, any state or the District of Columbia and expressly assumes by supplemental indenture all of our, relevant responsibilities and liabilities under the indenture, including the punctual payment of all amounts due on the notes and performance of the covenants in the indenture;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immediately after giving effect to the transaction, no Event of Default, and no event which, after notice or lapse of time or both, would become an Event of Default, as defined below, exists;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deliver to the Trustee an Officer’s Certificate and an opinion of counsel, each stating that consolidation, merger, transfer or lease complies with the indenture.</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upon any such consolidation or merger, or upon any such lease, sale or transfer, any of our Principal Property or any capital stock or indebtedness of any Restricted Subsidiary, owned immediately prior to the transaction, would thereupon become subject to any mortgage, security interest, pledge or lien securing any indebtedness for borrowed money of, or guaranteed by, such other corporation (other than any mortgage, security interest, pledge or lien permitted as described under “— Certain Covenants — Restrictions on Secured Debt” above), we or such Restricted Subsidiary (to the extent a subsidiary guarantor), as applicable, prior to such consolidation, merger, lease, sale or transfer, will, by executing and delivering to the Trustee a supplemental indenture, secure the due and punctual payment of the principal of, and any premium and interest on, the notes (together with, if we decide, any other indebtedness of, or guaranteed by, us or any Restricted Subsidiary then existing or thereafter created) equally and ratably with (or, at our option, prior to) the indebtedness secured by such mortgage, security interest, pledge or lien.</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consolidation or merger or any lease, sale, or transfer of all or substantially all our assets occurs in accordance with the indenture, the successor person will succeed to, and be substituted for, and may exercise every right and power of ours under the indenture with the same effect as if such successor person had been named in our place in the indenture. The predecessor person will (except in the case of a lease) be discharged from all obligations and covenants under the indenture and any debt securities issued thereunder.</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 Consolidation, Merger and Sale of Assets” covenant will not apply to any transfer of assets between or among us and any one or more of our subsidiary guarantors (if any) or between or among any one or more of our subsidiary guarantors (if any).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with the Trustee, within 15 days after we have filed the same with the Commission, information, documents and other reports as may be required pursuant to the Trust Indenture Act, which currently requires us to file with the Trustee copies of the annual reports and of the information, documents and other reports (or copies thereof as the Commission may from time to time by rules and regulations prescribe) which we may be required to file with the Commission pursuant to Section 13 or Section 15(d) of the Exchange Act; or, if we are not required to file information, documents or reports under those Sections, then we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those rules and regulations. Delivery of reports, information and documents to the Trustee under the indenture is for informational purposes only and the information and the Trustee’s receipt of the foregoing will not constitute constructive notice of any information contained therein, or determinable from information contained therein including our compliance with any of its covenants thereunder (as to which the Trustee is entitled to rely exclusively on an Officer’s Certificate). Such information, documents and reports will be deemed to have been filed by the Company with the Trustee and transmitted by the Company to Holders, as the case may be, if the Company has filed such information, documents and reports with the Commission.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S-25</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of any series, an “Event of Default” is defined in the indenture as being:</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failure to pay interest upon the notes of that series that continues for a period of 30 days after payment is due;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failure to pay the principal or premium, if any, on the notes of that series when due upon maturity, redemption, acceleration or otherwise;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failure by us (or any subsidiary guarantor) to comply with any of our other agreements (subsidiary guarantor’s, as applicable, other agreements) contained in the indenture applicable to the notes for a period of 90 days after written notice to us of such failure from the Trustee (or to us and the Trustee from the holders of at least 25% of the principal amount of the notes then outstanding);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a failure to make any payment at maturity, including any applicable grace period, of any indebtedness of the Company (or any subsidiary guarantor) in an amount in excess of $225,000,000</w:t>
            </w:r>
            <w:r>
              <w:rPr>
                <w:position w:val="8"/>
                <w:sz w:val="19"/>
              </w:rPr>
              <w:t xml:space="preserve"> </w:t>
            </w:r>
            <w:r>
              <w:rPr/>
              <w:t>aggregate principal amount and continuance of this failure to pay or (b) a default on any of the Company’s (or any subsidiary guarantor’s) indebtedness which default results in the acceleration of indebtedness in an aggregate principal amount in excess of $225,000,000 without such indebtedness having been discharged or the acceleration having been cured, waived, rescinded or annulled; provided, however, that if the failure, default or acceleration referred to in clause (a) or (b) above shall cease or be cured, waived, rescinded or annulled, then the Event of Default shall be deemed cured;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7345" w:type="dxa"/>
        <w:jc w:val="left"/>
        <w:tblInd w:w="0" w:type="dxa"/>
        <w:tblLayout w:type="fixed"/>
        <w:tblCellMar>
          <w:top w:w="0" w:type="dxa"/>
          <w:left w:w="0" w:type="dxa"/>
          <w:bottom w:w="0" w:type="dxa"/>
          <w:right w:w="0" w:type="dxa"/>
        </w:tblCellMar>
      </w:tblPr>
      <w:tblGrid>
        <w:gridCol w:w="75"/>
        <w:gridCol w:w="170"/>
        <w:gridCol w:w="710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pPr>
            <w:r>
              <w:rPr/>
              <w:t>certain events of bankruptcy, insolvency or reorganization relating to us,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guarantee of any subsidiary guarantor is held in any judicial proceeding to be unenforceable or invalid or ceases for any reason to be in full force and effect in all material respects (other than in accordance with the terms of such guarantee and the indenture) or any subsidiary guarantor denies its liability under its subsidiary guarantee (other than by reason of release of a subsidiary guarantor from its subsidiary guarantee in accordance with the terms of the indenture and such subsidiary guarantee) and such event continues for 10 business days.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if there is a continuing Event of Default with respect to the notes of any series (other than an Event of Default regarding certain events of bankruptcy, insolvency or reorganization relating to us), either the Trustee by notice to the Company or the holders of at least 25% of the outstanding principal amount of the notes of that series by notice to the Company and the Trustee may declare the principal amount of all of the notes of that series to be due and payable immediately. In the case of an Event of Default resulting from certain events of bankruptcy, insolvency or reorganization relating to us, the principal of and accrued and unpaid interest, if any, on all outstanding notes of that series will become and be immediately due and payable without any declaration or other act on the part of the Trustee or any holder of outstanding notes. At any time after the Trustee or the holders, as the case may be, declare an acceleration with respect to the notes of any series, but before the applicable Person has obtained a judgment or decree based on such acceleration, the holders of a majority in principal amount of the outstanding notes of that series may, under certain conditions, cancel such acceleration if we have cured all Events of Default (other than the nonpayment of accelerated principal) with respect to such notes or all such Events of Default have been waived as provided in the indenture. For information as to waiver of defaults, see “— Modification and Waiver.”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if there is a continuing Event of Default, the Trustee need not exercise any of its rights or powers under the indenture at the request or direction of any of the holders of notes of that series, unless such holders have offered, and, if requested, provided to the Trustee security or indemnity satisfactory to the Trustee in its sole discretion. Subject to such provisions for security or indemnification of the Trustee and certain other conditions, the holders of a majority in principal amount of the outstanding notes of a series will have the right to direct the time, method and place of conducting any proceeding for any remedy available to the Trustee or exercising any trust or power the Trustee holds with respect to the notes of that series.</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note will have any right to institute any proceeding with respect to the indenture or for any remedy under the indenture unless: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holder has previously given written notice to the Trustee of a continuing Event of Default with respect to the notes;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holders of not less than 25% of the aggregate principal amount of the outstanding notes have made a written request to the Trustee to institute proceedings in respect of such Event of Default in its own name as Trustee hereunder;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such holder or holders have offered, and if requested, provided to the Trustee security or indemnity satisfactory to the Trustee against the costs, expenses and liabilities to be incurred in compliance with such request;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Trustee has failed to institute proceedings 60 days after the receipt of such notice, request and offer of indemnity;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no direction inconsistent with such written request has been given for 60 days by the holders of a majority in aggregate principal amount of the outstanding notes.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holder of any note will have an absolute and unconditional right to receive payment of the principal of, and any premium or interest on, such note on or after the date or dates they are to be paid as expressed in such note and to institute suit for the enforcement of any such payment.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furnish to the Trustee annually a statement as to the absence of certain defaults under the indenture. The indenture provides that the Trustee need not provide holders of notes notice of any default (other than the nonpayment of principal or any premium or interest) if it considers it in the interest of the holders of notes not to provide such notice.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and Waiver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amend the indenture with the consent of the holders of a majority of the principal amount of the outstanding notes of each series affected by the amendment. However, no such amendment may, without the consent of the holders of all then outstanding notes of the affected series: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change the due date of the principal of, or any installment of principal of or interest on, the notes of that series;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8740" w:type="dxa"/>
        <w:jc w:val="left"/>
        <w:tblInd w:w="0" w:type="dxa"/>
        <w:tblLayout w:type="fixed"/>
        <w:tblCellMar>
          <w:top w:w="0" w:type="dxa"/>
          <w:left w:w="0" w:type="dxa"/>
          <w:bottom w:w="0" w:type="dxa"/>
          <w:right w:w="0" w:type="dxa"/>
        </w:tblCellMar>
      </w:tblPr>
      <w:tblGrid>
        <w:gridCol w:w="75"/>
        <w:gridCol w:w="170"/>
        <w:gridCol w:w="849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pPr>
            <w:r>
              <w:rPr/>
              <w:t>reduce the principal amount of, or any premium or interest rate on, the notes of that series;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both"/>
              <w:rPr/>
            </w:pPr>
            <w:r>
              <w:rPr/>
              <w:t> </w:t>
            </w:r>
          </w:p>
        </w:tc>
      </w:tr>
    </w:tbl>
    <w:tbl>
      <w:tblPr>
        <w:tblW w:w="9880" w:type="dxa"/>
        <w:jc w:val="left"/>
        <w:tblInd w:w="0" w:type="dxa"/>
        <w:tblLayout w:type="fixed"/>
        <w:tblCellMar>
          <w:top w:w="0" w:type="dxa"/>
          <w:left w:w="0" w:type="dxa"/>
          <w:bottom w:w="0" w:type="dxa"/>
          <w:right w:w="0" w:type="dxa"/>
        </w:tblCellMar>
      </w:tblPr>
      <w:tblGrid>
        <w:gridCol w:w="75"/>
        <w:gridCol w:w="170"/>
        <w:gridCol w:w="963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pPr>
            <w:r>
              <w:rPr/>
              <w:t>change the currency of payment of principal of, or any premium or interest on, the notes of that series;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reduce the premium payable upon the redemption of any note or change the time at which any note may or shall be redeemed in accordance with the indenture;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other than in accordance with the provisions of the indenture, eliminate a subsidiary guarantee, if any, of the notes or alter in any material respect adverse to the holders of the notes the terms of a subsidiary guarantee, if 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impair the right to institute suit for the enforcement of any payment on or with respect to the notes of that series after the due date thereof;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reduce the percentage in principal amount of the notes of that series then outstanding, the consent of whose holders is required for amendment of the indenture, for waiver of compliance with certain provisions of the indenture or for waiver of certain defaults.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S-27</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of the principal amount of the outstanding notes of any series may waive, insofar as that series is concerned, future compliance by us with certain restrictive covenants of the indenture. The holders of at least a majority in principal amount of the outstanding notes of any series may waive any past default under the indenture with respect to that series, except a failure by us to pay the principal of, or any premium or interest on, any notes of that series or a provision that cannot be modified or amended without the consent of the holders of all outstanding notes of the affected series.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Personal Liability of Directors, Officers, Employees and Stockholders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of ours will have any liability for any of our obligations under the notes or the indenture or for any claim based on, in respect of, or by reason of, such obligations or their creation. Each holder of notes by accepting a note waives and releases all such liability. The waiver and release are part of the consideration for issuance of the notes.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Defeasance and Discharge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discharge its obligations under the indenture in respect of the notes of any series when either:</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either (a) all outstanding notes (except (i) mutilated, destroyed, lost or stolen notes that have been replaced or paid and notes for whose payment money has been deposited in trust and thereafter repaid to us and (ii) notes for whose payment money has theretofore been deposited in trust or segregated and held in trust by us and thereafter repaid to us or discharged from such trust) of that series have been delivered to the Trustee cancelled or for cancellation or (b) all such notes of that series not so delivered for cancellation have either become due and payable or will become due and payable at their stated maturity within one year or are to be called for redemption within one year, and we have deposited with the Trustee in trust an amount of cash or U.S. government obligations or a combination thereof in an amount sufficient to pay the entire indebtedness of such notes of that series, including interest to the stated maturity or applicable redemption date;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have paid all other sums due under the indenture with respect to the notes of that series to be discharged and delivered an Officer’s Certificate and opinion of counsel to the Trustee stating that all related conditions have been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Defeasance of Certain Covenants and Certain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of any series may be defeased at any time in accordance with the terms set forth in the indenture and described briefly below. Any defeasance may terminate all of our and the subsidiary guarantors’, if any, obligations (with limited exceptions) with respect to the notes of that series, the guarantees and the indenture (“legal defeasance”), or it may terminate only our obligations under any restrictive covenant which may be applicable to the notes of that series (“covenant defeasance”).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exercise our legal defeasance option even though we have also exercised our covenant defeasance option. If we exercise the legal defeasance option, the notes of that series may not be accelerated because of an Event of Default. If we exercise the covenant defeasance option, the notes of that series may not be accelerated by reference to any restrictive covenants which apply to the notes of that series and any subsidiary guarantor will be released from its obligations with respect to its subsidiary guarantee.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either defeasance option, we must:</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irrevocably deposit in trust with the applicable Trustee or another trustee money or U.S. government obligations or a combination thereof in an amount sufficient to pay and discharge the principal of and any premium and interest or other amounts due on the notes of that series on the stated maturities or redemption dates therefor;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S-28</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deliver a certificate from a nationally recognized firm of independent public accountants or investment bankers expressing their opinion that the payments of principal and interest when due on the deposited U.S. government obligations, plus any deposited money, will provide cash at the times and in the amounts necessary to pay the principal of and premium and interest when due on all the notes of that series to maturity or redemption, as the case may be;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comply with certain other conditions, including that there be no Event of Default at the time of deposit or Event of Default due to bankruptcy on or prior to the 90</w:t>
            </w:r>
            <w:r>
              <w:rPr>
                <w:position w:val="7"/>
                <w:sz w:val="16"/>
                <w:sz w:val="20"/>
              </w:rPr>
              <w:t>th</w:t>
            </w:r>
            <w:r>
              <w:rPr/>
              <w:t> day after the deposit date. In particular, in the case of legal defeasance, we must obtain an opinion of tax counsel, based on a change in the applicable U.S. federal income tax law or a ruling by the Internal Revenue Service, that the defeasance will not result in recognition of any gain or loss to holders for federal income tax purposes as a result of the deposit.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Covenant Defeasance and Certain Other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exercise our option to effect a covenant defeasance as described above and the notes of any series are thereafter declared due and payable because of an Event of Default (other than an Event of Default caused by failing to comply with the covenants that are defeased), the amount of money and securities we have deposited with the Trustee would be sufficient to pay amounts due on the notes of that series on their due date but may not be sufficient to pay amounts due on the notes of that series at the time of acceleration resulting from such Event of Default. However, we would remain liable for such payments. The Company must deliver to the Trustee an opinion of counsel confirming that the beneficial owners of the outstanding notes of that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is, and the notes will be, governed by the laws of the State of New York.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Trustee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Bank is the Trustee under the indenture. The Trustee and its affiliates have engaged, currently are engaged, and may in the future engage in financial or other transactions with the Company and its affiliates in the ordinary course of their respective businesses, subject to the Trust Indenture Act of 1939, as amended.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during the continuance of an Event of Default, the Trustee will perform only such duties as are specifically set forth in the indenture. If an Event of Default shall have occurred and continues that is known to the Trustee, the Trustee will exercise such of the rights and powers vested in it under the indenture, and use the same degree of care and skill in its exercise, as a prudent person would exercise under the circumstances in the conduct of such person’s own affairs.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Definitions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summary of certain of the defined terms used in the indenture. Reference is made to the indenture for the full definition of all such terms as well as any other capitalized terms used herein for which no definition is provided. Unless the context otherwise requires, an accounting term not otherwise defined has the meaning assigned to it in accordance with generally accepted accounting principles.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Attributable Debt” means, in the context of a Sale and Lease-Back Transaction, what we believe in good faith to be the present value, discounted at the interest rate implicit in the lease involved in such Sale and Lease-Back Transaction, of the lessee’s obligation under the lease for rental payments during the remaining term of such lease, as it may be extended. For purposes of this definition, any amounts lessee must pay, whether or not designated as rent or additional rent, on account of maintenance and repairs, insurance, taxes, assessments, water rates or similar charges or any amounts lessee must pay under the lease contingent upon the amount of sales, maintenance and repairs, insurance, taxes, assessments, water rates or similar charges are not included in the determination of lessee’s obligations under the lease.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S-29</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any day other than a Saturday, Sunday or other day on which commercial banking institutions in New York City are authorized or required by law to close.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Commission” means the Securities and Exchange Commission,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Consolidated Net Tangible Assets” means the total amount of assets minus: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75"/>
        <w:gridCol w:w="170"/>
        <w:gridCol w:w="216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65" w:type="dxa"/>
            <w:tcBorders/>
            <w:vAlign w:val="center"/>
          </w:tcPr>
          <w:p>
            <w:pPr>
              <w:pStyle w:val="TableContents"/>
              <w:bidi w:val="0"/>
              <w:spacing w:before="0" w:after="283"/>
              <w:jc w:val="both"/>
              <w:rPr/>
            </w:pPr>
            <w:r>
              <w:rPr/>
              <w:t>all applicable reserves;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all current liabilities (excluding any liabilities which are by their terms extendible or renewable at the option of the obligor to a time more than 12 months after the time as of which the amount thereof is being computed and excluding current maturities of long-term indebtedness);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all goodwill, trade names, trademarks, patents, unamortized debt discount and expense and other like intangible assets, all as shown in our audited consolidated balance sheet contained in our then most recent annual report to stockholders.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Credit Agreement” means the Revolving Credit Agreement, dated as of November 6, 2017, by and among the Company and the several banks and other financial institutions from time to time who are a party thereto, and Truist Bank, as amended and as may be further amended, restated, supplemented, refinanced, refunded or replaced from time to time, including any such refinancing, refunding or replacement that increases the amount of borrowings thereunder or alters the maturity thereof.</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has the meaning set forth under “— Events of Default.”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Existing Indenture” means that certain Indenture dated as of July 27, 2023 between the Company, as Issuer, and Truist Bank, as Trustee, as Supplemented by that certain First Supplemental Indenture dated as of July 27, 2023, as may be further amended, restated or supplemented from time to time.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Existing Senior Notes” means the 5.250% Notes due 2028 and the 5.350% Notes due 2033 issued by the Company under the Existing Indenture.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Funded Debt” means all indebtedness for money borrowed which by its terms matures more than 12 months after the time of the computation of this amount or which is extendible or renewable at the option of the obligor on this indebtedness to a time more than 12 months after the time of the computation of this amount or which is classified, in accordance with U.S. generally accepted accounting principles, as long-term debt on the consolidated balance sheet for the most-recently ended fiscal quarter (or if incurred subsequent to the date of such balance sheet, would have been so classified) of the person for which the determination is being made.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Issue Date” means the date on which the notes are initially issued.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S-30</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Officer” means the Chief Executive Officer, a President, the Chief Financial Officer, any Vice President, the Treasurer or the Secretary of the specified Person.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Officer’s Certificate” means a certificate signed by any Senior Officer, the Treasurer or the General Counsel of such Person that, if required by the Trust Indenture Act, complies with the requirements of Section 314(e) of the Trust Indenture Act.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Person” means any individual, corporation, company (including a limited liability company), partnership, joint venture, association, joint stock company, trust, unincorporated organization, government or any agency or political subdivision thereof or any other entity.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Principal Property” means any plant, warehouse, office building, facility or parcel of real property owned by us or any Restricted Subsidiary which is located within the United States and has a gross book value in excess of 2% of Consolidated Net Tangible Assets at the time of determination, except for any such plant, warehouse, office building, facility or parcel of real property or any portion of such plant, warehouse, office building, facility or parcel of real property which, in the opinion of our board of directors, is not of material importance to the total business conducted by us and our Restricted Subsidiaries taken as a whole.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Restricted Subsidiary” means any Subsidiary of the Company that is not an Unrestricted Subsidiary.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Sale and Lease-Back Transaction” means the leasing by us or any Restricted Subsidiary of any Principal Property, whether owned at the date of the indenture or acquired after the date of the indenture (except for temporary leases for a term, including any renewal term, of up to three years and except for leases between us and any Restricted Subsidiary or between Restricted Subsidiaries), which property has been or is to be sold or transferred by us or such Restricted Subsidiary to any party with the intention of taking back a lease of such property.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Senior Officer” means the Chief Executive Officer, the Chief Financial Officer, a President, a Vice President, the Treasurer, an Assistant Treasurer, the Secretary or an Assistant Secretary of the Company or any other officer or officers designated in a board resolution delivered to the Trustee.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Subsidiary” means any Person, a majority of the combined voting power of the total outstanding ownership interests in which is, at the time of determination, beneficially owned or held, directly or indirectly, by the Company or one or more other Subsidiaries. For this purpose, “voting power” means power to vote in an ordinary election of directors (or, in the case of a Person that is not a corporation, ordinarily to appoint or approve the appointment of Persons holding similar positions), whether at all times or only as long as no senior class of ownership interests has such voting power by reason of any contingency.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Trust Indenture Act” means the Trust Indenture Act of 1939, as amended.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Unrestricted Subsidiary” means each Subsidiary of the Company designated as such by the Company to the Trustee from time to time; provided that a Subsidiary shall only be designated as an Unrestricted Subsidiary if the Company has also designated such Subsidiary as an “Unrestricted Subsidiary” (or any substantially similar designation) pursuant to the Credit Agreement. We may designate any Unrestricted Subsidiary to be a Restricted Subsidiary for purposes of the indenture at any time if we have also designated such Subsidiary as a “Restricted Subsidiary” (or any substantially similar designation) pursuant to the Credit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S-31</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4" w:name="pro_014"/>
      <w:bookmarkEnd w:id="14"/>
      <w:r>
        <w:rPr>
          <w:rFonts w:ascii="Times New Roman;Times;Serif" w:hAnsi="Times New Roman;Times;Serif"/>
          <w:b/>
          <w:i w:val="false"/>
          <w:caps/>
          <w:sz w:val="20"/>
        </w:rPr>
        <w:t>Book-Entry; Delivery And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of each series initially will be represented by one or more permanent global certificates in definitive, fully registered, book-entry form (the “Global Notes”). The Global Notes will be deposited upon issuance with The Depository Trust Company, New York, New York (“DTC”) and registered in the name of Cede &amp; Co., as nominee of DTC, in the form of a global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Global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has advised us that, pursuant to procedures established by it, (i) upon the issuance of the Global Notes, DTC or its custodian will credit, on its internal system, the principal amount at maturity of the individual beneficial interests represented by such Global Notes to the respective accounts of persons who have accounts with DTC (“participants”) and (ii) ownership of beneficial interests in the Global Notes will be shown on, and the transfer of such ownership will be effected only through, records maintained by DTC or its nominee (with respect to interests of participants) and the records of participants (with respect to interests of persons other than participants). Ownership of beneficial interests in the Global Notes will be limited to participants or persons who hold interests through participants. Holders may hold their interests in the Global Notes directly through DTC if they are participants in such system, or indirectly through organizations that are participants in such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DTC, or its nominee, is the registered owner or holder of the notes, DTC or such nominee, as the case may be, will be considered the sole owner or holder of the notes represented by such Global Notes for all purposes under the indenture governing the notes. Accordingly, each owner of a beneficial interest in a global security must rely on the procedures of DTC and, if such owner is not a participant, on the procedures of the participant through which it owns its beneficial interest to exercise any rights of a holder of notes under the indenture. No beneficial owner of an interest in the Global Notes will be able to transfer that interest except in accordance with DTC’s procedures, in addition to those provided for under the indenture with respect to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the principal of, premium, if any, and interest (including additional interest) on, the Global Notes will be made to DTC or its nominee, as the case may be, as the registered owner of the Global Notes. None of the Trustee, Truist Bank, or any paying agent under the indenture governing the notes will have any responsibility or liability for any aspect of the records relating to or payments made on account of beneficial ownership interests in the Global Notes or for maintaining, supervising or reviewing any records relating to such beneficial ownership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has advised us that its present practice is, upon receipt of any payment of principal, premium, if any, and interest (including additional interest) on the Global Notes, to credit immediately participants’ accounts with payments in amounts proportionate to their respective beneficial interests in the principal amount of the Global Notes as shown on the records of DTC. Payments by participants to owners of beneficial interests in the Global Notes held through such participants will be governed by standing instructions and customary practice, as is now the case with securities held for the accounts of customers registered in the names of nominees for such customers. Such payments will be the responsibility of such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between participants in DTC will be effected in the ordinary way through DTC’s same-day funds system in accordance with DTC rules and will be settled in same-day funds. If a holder requires physical delivery of a certificated security for any reason, including to sell notes to persons in states which require physical delivery of the notes, or to pledge such securities, such holder must transfer its interest in a Global Note in accordance with the normal procedures of DTC and with the procedures set forth in the indenture governing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has advised us that it will take any action permitted to be taken by a holder of notes, including the presentation of notes for exchange as described below, only at the direction of one or more participants to whose account the DTC interests in the Global Notes are credited and only in respect of such portion of the aggregate principal amount of notes as to which such participant or participants has or have given such direction. However, if there is an event of default under the indenture governing the notes, DTC will exchange the Global Notes for certificated securities, which it will distribute to its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has advised us as follows: DTC is a limited 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thereby eliminating the need for physical movement of certificates. Participants include both U.S. and non-U.S. securities brokers and dealers, banks, trust companies and clearing corporations and certain other organizations. Access to the DTC system is available to others such as U.S. and non-U.S. banks, brokers, dealers and trust companies that clear through or maintain a custodial relationship with a participant, either directly or indirectly (“indirect participants”). The Rules applicable to DTC and participants are on file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DTC has agreed to the foregoing procedures in order to facilitate transfers of interests in the Global Notes among participants of DTC, it is under no obligation to perform such procedures, and such procedures may be discontinued at any time. Neither we nor the Trustee will have any responsibility for the performance by DTC or its participants or indirect participants of their respective obligations under the rules and procedures governing their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Clearstream</w:t>
      </w:r>
      <w:r>
        <w:rPr>
          <w:rFonts w:ascii="Times New Roman;Times;Serif" w:hAnsi="Times New Roman;Times;Serif"/>
          <w:b w:val="false"/>
          <w:i w:val="false"/>
          <w:caps w:val="false"/>
          <w:smallCaps w:val="false"/>
          <w:sz w:val="20"/>
        </w:rPr>
        <w:t>. Clearstream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Clearstream Participants with, among other things, services for safekeeping, administration, clearance and establishment of internationally traded securities and securities lending and borrowing. Clearstream interfaces with domestic markets in several countries. As a professional depositary, Clearstream is subject to regulation by the Luxembourg Monetary Institute.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Euroclear.</w:t>
      </w:r>
      <w:r>
        <w:rPr>
          <w:rFonts w:ascii="Times New Roman;Times;Serif" w:hAnsi="Times New Roman;Times;Serif"/>
          <w:b w:val="false"/>
          <w:i w:val="false"/>
          <w:caps w:val="false"/>
          <w:smallCaps w:val="false"/>
          <w:sz w:val="20"/>
        </w:rPr>
        <w:t xml:space="preserve"> Euroclear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markets in several countries. Euroclear is operated by Euroclear Bank S.A./N.V. (the “Euroclear Operator”), under contract with Euroclear Clearance Systems S.C., a Belgian cooperative corporation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Euroclear Operator is regulated and examined by the Belgian Banking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Links have been established among DTC, Clearstream and Euroclear to facilitate the initial issuance of the notes sold outside of the United States and cross-market transfers of the notes associated with secondary market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DTC, Clearstream and Euroclear have agreed to the procedures described herein in order to facilitate transfers, they are under no obligation to perform these procedures, and these procedures may be modified or discontinued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deliveries, transfers, exchanges, notices and other matters relating to beneficial interests in the Global Notes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able to make and receive through Euroclear and Clearstream payments, deliveries, transfers and other transactions involving any beneficial interests in the Global Notes held through those systems only on days when those systems are open for business. Those systems may not be open for business on days when banks, brokers and other institutions are open for business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of time-zone differences, investors who hold their interests in the Global Notes through Clearstream or Euroclear and wish on a particular day to transfer their interests, or to receive or make a payment or delivery or exercise any other right with respect to their interests, may find that the transaction will not be effected until the next business day. Thus, investors who wish to exercise rights that expire on a particular day may need to act before the expiration date. In addition, investors who hold their interests through both DTC and Clearstream or Euroclear may need to make special arrangements to finance any purchase or sales of their interests between the U.S. and European clearing systems, and those transactions may settle later than would be the case for transactions within one clearing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Certificated securities will be issued in exchange for beneficial interests in the Global Notes if (i) DTC (x) notifies us that it is unwilling or unable to continue as depository for the Global Notes or (y) has ceased to be a clearing agency registered under the Exchange Act, and, in either case, we fail to appoint a successor depository within 90 days of such notice or cessation, (ii) we, at our option, notify the Trustee that we have elected to cause the issuance of such certificated securities in exchange for any or all of the notes represented by the Global Notes or (iii) there shall have occurred and be continuing an Event of Default with respect to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pro_015"/>
      <w:bookmarkEnd w:id="15"/>
      <w:r>
        <w:rPr>
          <w:rFonts w:ascii="Times New Roman;Times;Serif" w:hAnsi="Times New Roman;Times;Serif"/>
          <w:b/>
          <w:i w:val="false"/>
          <w:caps/>
          <w:sz w:val="20"/>
        </w:rPr>
        <w:t>Certain Material U.S. Federal Income Tax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certain material U.S. federal income tax considerations relevant to the acquisition, ownership, and disposition of the notes. This discussion only applies to notes that are held as capital assets, within the meaning of Section 1221 of the Internal Revenue Code of 1986, as amended (“Code”), and that are purchased in the initial offering at the initial offering price, by U.S. Holders and Non-U.S. Holders (each as defined below). This discussion is based on interpretations of the Code, Treasury regulations issued thereunder, and rulings and decisions currently in effect, all of which are subject to change. Any such change may be applied retroactively and may adversely affect the U.S. federal income tax considerations described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discuss all U.S. federal income tax considerations that may be relevant to U.S. Holders and Non-U.S. Holders in light of their particular circumstances or that may be relevant to certain beneficial owners that may be subject to special treatment under U.S. federal income tax law (including, for example, tax-exempt organizations, insurance companies, banks and other financial institutions, dealers in securities, traders in securities that elect to use a mark-to-market method of accounting, real estate investment trusts, regulated investment companies, individual retirement accounts, qualified pension plans, persons who hold the notes as part of a straddle, constructive sale, conversion, or other integrated transaction, U.S. Holders whose functional currency is not the U.S. dollar, controlled foreign corporations, passive foreign investment companies, inverted corporations, corporations that accumulate earnings to avoid U.S. federal income tax, pass-through entities (e.g., partnerships) or persons who hold the notes through pass-through entities, or persons subject to special tax accounting rules as a result of any item of gross income with respect to the notes being taken into account in an applicable financial statement). Furthermore, this summary does not discuss any alternative minimum tax considerations, and does not address any aspects of federal non-income taxation or state, local, or foreign taxation. In the case of any Non-U.S. Holder who is an individual, this summary assumes that this individual was not formerly a United States citizen, and was not formerly a resident of the United States for U.S. federal income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discussion, the term “U.S. Holder” means a beneficial owner of the notes that is, for U.S. federal income tax purposes (a) an individual who is a citizen or resident of the United States, (b) a corporation organized under the laws of the United States, any state thereof, or the District of Columbia, or is otherwise treated as a domestic corporation, (c) an estate the income of which is subject to U.S. federal income taxation regardless of its source, or (d) a trust (i) whose administration is subject to the primary supervision of a court within the United States and all substantial decisions of which are subject to the control of one or more United States persons as described in Section 7701(a)(30) of the Code (each, a “United States person”), or (ii) that has a valid election in effect under applicable Treasury regulations to be treated as a United States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means a beneficial owner of notes that is not a U.S. Holder and is not a partnership (including any entity or arrangement properly classified as a partnership for U.S. federal income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properly classified as a partnership for U.S. federal income tax purposes) holds notes, the tax treatment of a partner generally will depend on the status of the partner and the activities of the partnership. Partners of a partnership holding the notes should consult their own tax advisors.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ruling has been or will be obtained from the Internal Revenue Service (“IRS”) with respect to the matters discussed below. As a result, no assurance can be given that the IRS will not assert, or that a court will not sustain, a position contrary to the conclusions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discussion does not address all of the U.S. federal income tax consequences that may be relevant to beneficial owners in light of their particular circumstances or to investors subject to special treatment under U.S. federal income tax laws, nor does it deal with federal non-income taxation or the tax consequences under the laws of any foreign, state or local taxing jurisdictions. Accordingly, prospective investors are urged to consult their own tax advisors with respect to the U.S. federal, state and local tax consequences of investing in the notes, as well as any consequences arising under the laws of any other taxing jurisdiction to which they may be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Certain Contingent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we may be obligated to make payments on the notes in excess of stated interest and principal, or prior to their scheduled payment dates (see “Description of the Notes—Offer to Repurchase Upon Change of Control Triggering Event”). Treasury regulations provide special rules for the treatment of debt instruments that provide for contingent payments. Under these regulations, a contingency is disregarded if the contingency is remote or incidental. We believe that the likelihood that we will make any of the contingent payments referred to above is remote and, therefore, we intend to take the position that the notes are not contingent payment debt instruments under applicable Treasury regulations. A successful challenge of this position by the IRS could affect the timing and amount of income inclusions with respect to the notes, and could also cause any gain from the sale or other disposition of a note to be treated as ordinary income rather than as capital gain. Our position is binding on a beneficial owner of a note, unless the beneficial owner discloses in the proper manner to the IRS that it is taking a different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 of the notes should consult their own tax advisors regarding the possible application of the contingent payment debt instrument rules to the notes. The remainder of this summary assumes that the notes will not be treated as contingent payment debt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on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payments on the notes will be taxable to a U.S. Holder as ordinary income at the time such interest is received or accrued, in accordance with the U.S. Holder’s regular method of accounting for U.S. federal income tax purposes. The notes are not expected to be issued with an amount equal to or greater than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original issue discount (“OID”). However, if the notes are issued at a discount that equals or exceeds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OID, each U.S. Holder generally will be required to include OID in income (as interest) as it accrues, regardless of its regular method of accounting for U.S. federal income tax purposes, using a constant yield method, before such U.S. Holder receives any payment attributable to such income. The remainder of this discussion assumes that the notes are not issued with an amount equal to or greater than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Exchange, Redemption or Other Taxable Disposition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sale, exchange, redemption or other taxable disposition of a note, a U.S. Holder generally will recognize gain or loss in an amount equal to the difference between the amount realized (other than any amount representing accrued but unpaid interest, which will be treated as ordinary income to the extent not previously included in income) and the U.S. Holder’s adjusted tax basis in the note. The amount realized by a U.S. Holder will be the sum of the cash plus the fair market value of all other property received on such sale, exchange, redemption or other taxable disposition. A U.S. Holder’s adjusted tax basis in a note generally will equal the purchase price of the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gain or loss so recognized generally will be capital gain or loss and will be long-term capital gain or loss if such U.S. Holder has held such note for more than one year at the time of such sale, exchange, redemption or other taxable disposition. Net long-term capital gain of certain non-corporate U.S. Holders (including individuals) generally is subject to preferential rates of U.S. federal income tax. The deductibility of capital losses is subject to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Investment Income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who are individuals, estates or trusts (with income that exceeds certain thresholds) will be subject to a 3.8% net investment income tax on the lesser of (1) the U.S. person’s “net investment income” for the relevant taxable year and (2) the excess of the U.S. person’s modified adjusted gross income for the taxable year over certain thresholds that vary depending on the individual’s circumstances. Net investment income generally will include interest income and net gains from the disposition of the notes, unless such interest income or net gains are derived in the ordinary course of the conduct of a trade or business (other than a trade or business that consists of certain passive or trading activities). A U.S. Holder that is an individual, estate or trust should consult its tax advisor regarding the applicability of the net investment income tax to its interest income and gains in respect of its investment in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Backup Withholding and Information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U.S. Holder that is not an “exempt recipient” will be subject to U.S. federal backup withholding tax at the applicable rate with respect to payments on the notes and the proceeds of a sale, exchange, redemption or other taxable disposition of the notes, unless the U.S. Holder provides its taxpayer identification number to the applicable withholding agent and certifies, under penalty of perjury, that it is not subject to backup withholding on IRS Form W-9 or an applicable successor form and otherwise complies with the applicable requirements of the backup withholding rules. Backup withholding is not an additional tax. The amount of any backup withholding from a payment to a U.S. Holder may be allowed as a credit against such U.S. Holder’s U.S. federal income tax liability and may entitle such U.S. Holder to a refund, provided the required information is furnished to the IRS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payments on the notes made to, and the proceeds of a sale, exchange, redemption or other taxable disposition by, a U.S. Holder generally will be subject to information reporting requirements, unless such U.S. Holder is an exempt recipient and appropriately establishes that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on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under “—Backup Withholding and Information Reporting” and “—Foreign Account Tax Compliance Act”, interest payments on the notes to Non-U.S. Holders generally will not be subject to U.S. federal income or withholding tax if the following conditions are satisfied:</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Non-U.S. Holder does not actually or constructively own 10% or more of the total combined voting power of all classes of our stock entitled to vote within the meaning of Section 871(h)(3) of the Code,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Non-U.S. Holder is not a controlled foreign corporation for U.S. federal income tax purposes that is related to us through actual or constructive ownership,</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interest is not effectively connected with a trade or business conducted by the Non-U.S. Holder in the United States (or, in the case of an applicable income tax treaty, is not attributable to a permanent establishment or a fixed base that the Non-U.S. Holder maintains in the United States),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either (a) the Non-U.S. Holder provides a correct, complete and executed IRS Form W-8BEN, Form W-8BEN-E, Form W-8EXP or Form W-8IMY (or suitable successor or substitute form) with all of the attachments required by the IRS or (b) the Non-U.S. Holder holds its notes through a qualified intermediary (generally a foreign financial institution or clearing organization or a non-U.S. branch or office of a U.S. financial institution or clearing organization that is a party to a withholding agreement with the IRS), which has provided an IRS Form W-8IMY (or suitable successor or substitute form) stating that it is a qualified intermediary and has received documentation upon which it can rely to treat the payment as made to a foreign person.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conditions described above are not satisfied, interest on the notes will be subject to a 30% withholding tax when paid, unless either the Non-U.S. Holder provides a correct, complete and executed IRS Form W-8BEN or Form W-8BEN-E claiming that an income tax treaty reduces or eliminates the tax, or the interest is effectively connected with the conduct of a U.S. trade or business and the Non-U.S. Holder provides a correct, complete and executed IRS Form W-8ECI. If interest is effectively connected with a trade or business conducted by the Non-U.S. Holder in the United States (or, in the case of an applicable income tax treaty, is attributable to a permanent establishment or a fixed base that the Non-U.S. Holder maintains in the United States), Non-U.S. Holders generally will be subject to U.S. federal income tax with respect to all income from the notes in the same manner as a United States person. In addition, Non-U.S. Holders that are corporations could be subject to a 30% branch profits tax (or a lower rate under an applicable income tax treaty) on such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Exchange, Redemption or Other Taxable Disposition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under “—Backup Withholding and Information Reporting” and “—Foreign Account Tax Compliance Act”, gain realized on the sale, exchange, redemption or other taxable disposition of the notes by a Non-U.S. Holder generally will not be subject to U.S. federal income tax, unless:</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gain with respect to the notes is effectively connected with a trade or business conducted by the Non-U.S. Holder in the United States (and, if required by an applicable income tax treaty, is attributable to a U.S. permanent establishment or a fixed base that the Non-U.S. Holder maintains in the U.S.), in which case the gain will be taxed in the same manner as interest that is effectively connected to such trade or business,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Non-U.S. Holder is a nonresident alien individual who holds the notes as a capital asset and is present in the United States for more than 182 days in the taxable year of the sale, exchange, redemption or other taxable disposition of the notes and certain other conditions are satisfied, in which case the gain will be subject to a 30% tax (or a lower rate under an applicable income tax treaty).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amount realized on a sale, exchange, redemption or other taxable disposition of the notes is attributable to accrued but unpaid interest on the notes, such amount generally will be subject to, or exempt from, tax to the same extent as described above under “—Non-U.S. Holders—Interest on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Backup Withholding and Information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will not be required with respect to interest paid to Non-U.S. Holders, so long as the applicable withholding agent has received from the Non-U.S. Holder a correct and complete IRS Form W-8BEN, Form W-8BEN-E, Form W-8ECI, Form  W-8EXP or Form W-8IMY (or suitable successor or substitute form) with all of the attachments required by the IRS and provided that the applicable withholding agent does not have actual knowledge or reason to know that the Non-U.S. Holder is a United States person. Interest paid to a Non-U.S. Holder will be reported on IRS Form 1042-S, which is filed with the IRS and sent to Non-U.S.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reporting and backup withholding may apply to the proceeds of a sale of the notes by a Non-U.S. Holder made within the United States or conducted through certain U.S. related financial intermediaries, unless the applicable withholding agent receives one of the IRS tax forms described above and provided that the applicable withholding agent does not have actual knowledge or reason to know that the Non-U.S. Holder is a United States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The amount of any backup withholding from a payment to a Non-U.S. Holder may be allowed as a credit against such Non-U.S. Holder’s U.S. federal income tax liability and may entitle such Non-U.S. Holder to a refund, provided the required information is furnished to the IRS in a timely manner. The information reporting requirements may apply regardless of whether withholding is required. For Non-U.S. Holders, copies of the information returns reporting such interest and withholding also may be made available to the tax authorities in the country in which a Non-U.S. Holder is a resident under the provisions of an applicable income tax treaty 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Account Tax Compliance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“Foreign Account Tax Compliance Act” (“FATCA”) and guidance issued by the IRS, a United States federal withholding tax of 30% generally applies to interest on a debt obligation, including a note, paid to certain non-United States entities (including, in some circumstances, where such an entity is acting as an intermediary) that fail to comply with certain certification and information reporting requirements. Although withholding under FATCA would have applied to payments of gross proceeds from the sale, exchange, redemption or other taxable disposition of the notes on or after January 1, 2019, proposed Treasury regulations eliminate FATCA withholding on payments of gross proceeds entirely. Taxpayers generally may rely on these proposed Treasury regulations until final Treasury regulations are issued. If an interest payment is both subject to withholding under FATCA and subject to the withholding tax discussed above under “—Non-U.S. Holders—Interest on the Notes,” the withholding under FATCA may be credited against, and therefore reduce, such other withholding tax. The rules described above may be modified by an intergovernmental agreement entered into between the United States and another jurisdiction. Prospective holders of the notes should consult their own tax advisors regarding the effect, if any, of the FATCA rules for them based on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S-38</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6" w:name="pro_016"/>
      <w:bookmarkEnd w:id="16"/>
      <w:r>
        <w:rPr>
          <w:rFonts w:ascii="Times New Roman;Times;Serif" w:hAnsi="Times New Roman;Times;Serif"/>
          <w:b/>
          <w:i w:val="false"/>
          <w:caps/>
          <w:sz w:val="20"/>
        </w:rPr>
        <w:t>Underwriting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 BofA Securities, Inc., PNC Capital Markets LLC and Wells Fargo Securities, LLC are acting as representatives of each of the underwriters named below. Subject to the terms and conditions set forth in a firm commitment underwriting agreement among us and the underwriters, we have agreed to sell to the underwriters, and each of the underwriters has agreed, severally and not jointly, to purchase from us, the aggregate principal amount of the notes set forth opposite its name below.</w:t>
      </w:r>
    </w:p>
    <w:p>
      <w:pPr>
        <w:pStyle w:val="TextBody"/>
        <w:bidi w:val="0"/>
        <w:spacing w:before="0" w:after="0"/>
        <w:ind w:left="0" w:right="0" w:firstLine="480"/>
        <w:jc w:val="both"/>
        <w:rPr>
          <w:caps w:val="false"/>
          <w:smallCaps w:val="false"/>
        </w:rPr>
      </w:pPr>
      <w:r>
        <w:rPr>
          <w:caps w:val="false"/>
          <w:smallCaps w:val="false"/>
        </w:rPr>
        <w:t> </w:t>
      </w:r>
    </w:p>
    <w:tbl>
      <w:tblPr>
        <w:tblW w:w="6580" w:type="dxa"/>
        <w:jc w:val="left"/>
        <w:tblInd w:w="0" w:type="dxa"/>
        <w:tblLayout w:type="fixed"/>
        <w:tblCellMar>
          <w:top w:w="0" w:type="dxa"/>
          <w:left w:w="0" w:type="dxa"/>
          <w:bottom w:w="28" w:type="dxa"/>
          <w:right w:w="0" w:type="dxa"/>
        </w:tblCellMar>
      </w:tblPr>
      <w:tblGrid>
        <w:gridCol w:w="3605"/>
        <w:gridCol w:w="60"/>
        <w:gridCol w:w="140"/>
        <w:gridCol w:w="1220"/>
        <w:gridCol w:w="60"/>
        <w:gridCol w:w="60"/>
        <w:gridCol w:w="140"/>
        <w:gridCol w:w="1220"/>
        <w:gridCol w:w="75"/>
      </w:tblGrid>
      <w:tr>
        <w:trPr/>
        <w:tc>
          <w:tcPr>
            <w:tcW w:w="3605" w:type="dxa"/>
            <w:tcBorders>
              <w:bottom w:val="single" w:sz="12" w:space="0" w:color="000000"/>
            </w:tcBorders>
            <w:vAlign w:val="center"/>
          </w:tcPr>
          <w:p>
            <w:pPr>
              <w:pStyle w:val="TableContents"/>
              <w:bidi w:val="0"/>
              <w:spacing w:before="0" w:after="283"/>
              <w:jc w:val="left"/>
              <w:rPr>
                <w:b/>
              </w:rPr>
            </w:pPr>
            <w:r>
              <w:rPr>
                <w:b/>
              </w:rPr>
              <w:t>Underwriter</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12" w:space="0" w:color="000000"/>
            </w:tcBorders>
            <w:vAlign w:val="center"/>
          </w:tcPr>
          <w:p>
            <w:pPr>
              <w:pStyle w:val="TableContents"/>
              <w:bidi w:val="0"/>
              <w:spacing w:before="0" w:after="283"/>
              <w:jc w:val="center"/>
              <w:rPr>
                <w:b/>
              </w:rPr>
            </w:pPr>
            <w:r>
              <w:rPr>
                <w:b/>
              </w:rPr>
              <w:t>Principal</w:t>
              <w:br/>
              <w:t>Amount of</w:t>
              <w:br/>
              <w:t>2031</w:t>
              <w:br/>
              <w:t>Notes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60" w:type="dxa"/>
            <w:gridSpan w:val="2"/>
            <w:tcBorders>
              <w:bottom w:val="single" w:sz="12" w:space="0" w:color="000000"/>
            </w:tcBorders>
            <w:vAlign w:val="center"/>
          </w:tcPr>
          <w:p>
            <w:pPr>
              <w:pStyle w:val="TableContents"/>
              <w:bidi w:val="0"/>
              <w:spacing w:before="0" w:after="283"/>
              <w:jc w:val="center"/>
              <w:rPr>
                <w:b/>
              </w:rPr>
            </w:pPr>
            <w:r>
              <w:rPr>
                <w:b/>
              </w:rPr>
              <w:t>Principal </w:t>
              <w:br/>
              <w:t>Amount of</w:t>
              <w:br/>
              <w:t xml:space="preserve">2036 </w:t>
              <w:br/>
              <w:t>Notes</w:t>
            </w:r>
          </w:p>
        </w:tc>
        <w:tc>
          <w:tcPr>
            <w:tcW w:w="75" w:type="dxa"/>
            <w:tcBorders/>
            <w:tcMar>
              <w:bottom w:w="0" w:type="dxa"/>
            </w:tcMar>
            <w:vAlign w:val="center"/>
          </w:tcPr>
          <w:p>
            <w:pPr>
              <w:pStyle w:val="TableContents"/>
              <w:bidi w:val="0"/>
              <w:spacing w:before="0" w:after="283"/>
              <w:jc w:val="left"/>
              <w:rPr/>
            </w:pPr>
            <w:r>
              <w:rPr/>
              <w:t> </w:t>
            </w:r>
          </w:p>
        </w:tc>
      </w:tr>
      <w:tr>
        <w:trPr/>
        <w:tc>
          <w:tcPr>
            <w:tcW w:w="3605" w:type="dxa"/>
            <w:tcBorders/>
            <w:shd w:fill="CCEEFF" w:val="clear"/>
            <w:tcMar>
              <w:bottom w:w="0" w:type="dxa"/>
            </w:tcMar>
            <w:vAlign w:val="center"/>
          </w:tcPr>
          <w:p>
            <w:pPr>
              <w:pStyle w:val="TableContents"/>
              <w:bidi w:val="0"/>
              <w:spacing w:before="0" w:after="283"/>
              <w:jc w:val="left"/>
              <w:rPr/>
            </w:pPr>
            <w:r>
              <w:rPr/>
              <w:t>Truist Securities,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110,000,000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130,000,000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05" w:type="dxa"/>
            <w:tcBorders/>
            <w:shd w:fill="FFFFFF" w:val="clear"/>
            <w:tcMar>
              <w:bottom w:w="0" w:type="dxa"/>
            </w:tcMar>
            <w:vAlign w:val="center"/>
          </w:tcPr>
          <w:p>
            <w:pPr>
              <w:pStyle w:val="TableContents"/>
              <w:bidi w:val="0"/>
              <w:spacing w:before="0" w:after="283"/>
              <w:jc w:val="left"/>
              <w:rPr/>
            </w:pPr>
            <w:r>
              <w:rPr/>
              <w:t>BofA Securities,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79,750,000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94,250,000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05" w:type="dxa"/>
            <w:tcBorders/>
            <w:shd w:fill="CCEEFF" w:val="clear"/>
            <w:tcMar>
              <w:bottom w:w="0" w:type="dxa"/>
            </w:tcMar>
            <w:vAlign w:val="center"/>
          </w:tcPr>
          <w:p>
            <w:pPr>
              <w:pStyle w:val="TableContents"/>
              <w:bidi w:val="0"/>
              <w:spacing w:before="0" w:after="283"/>
              <w:jc w:val="left"/>
              <w:rPr/>
            </w:pPr>
            <w:r>
              <w:rPr/>
              <w:t>PNC Capital Markets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79,750,000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94,250,000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05" w:type="dxa"/>
            <w:tcBorders/>
            <w:shd w:fill="FFFFFF" w:val="clear"/>
            <w:tcMar>
              <w:bottom w:w="0" w:type="dxa"/>
            </w:tcMar>
            <w:vAlign w:val="center"/>
          </w:tcPr>
          <w:p>
            <w:pPr>
              <w:pStyle w:val="TableContents"/>
              <w:bidi w:val="0"/>
              <w:spacing w:before="0" w:after="283"/>
              <w:jc w:val="left"/>
              <w:rPr/>
            </w:pPr>
            <w:r>
              <w:rPr/>
              <w:t>Wells Fargo Securities,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79,750,000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94,250,000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05" w:type="dxa"/>
            <w:tcBorders/>
            <w:shd w:fill="CCEEFF" w:val="clear"/>
            <w:tcMar>
              <w:bottom w:w="0" w:type="dxa"/>
            </w:tcMar>
            <w:vAlign w:val="center"/>
          </w:tcPr>
          <w:p>
            <w:pPr>
              <w:pStyle w:val="TableContents"/>
              <w:bidi w:val="0"/>
              <w:spacing w:before="0" w:after="283"/>
              <w:jc w:val="left"/>
              <w:rPr/>
            </w:pPr>
            <w:r>
              <w:rPr/>
              <w:t>Credit Agricole Securities (USA)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55,000,000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65,000,000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05" w:type="dxa"/>
            <w:tcBorders/>
            <w:shd w:fill="FFFFFF" w:val="clear"/>
            <w:tcMar>
              <w:bottom w:w="0" w:type="dxa"/>
            </w:tcMar>
            <w:vAlign w:val="center"/>
          </w:tcPr>
          <w:p>
            <w:pPr>
              <w:pStyle w:val="TableContents"/>
              <w:bidi w:val="0"/>
              <w:spacing w:before="0" w:after="283"/>
              <w:jc w:val="left"/>
              <w:rPr/>
            </w:pPr>
            <w:r>
              <w:rPr/>
              <w:t>TD Securities (USA)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55,000,000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65,000,000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05" w:type="dxa"/>
            <w:tcBorders/>
            <w:shd w:fill="CCEEFF" w:val="clear"/>
            <w:tcMar>
              <w:bottom w:w="0" w:type="dxa"/>
            </w:tcMar>
            <w:vAlign w:val="center"/>
          </w:tcPr>
          <w:p>
            <w:pPr>
              <w:pStyle w:val="TableContents"/>
              <w:bidi w:val="0"/>
              <w:spacing w:before="0" w:after="283"/>
              <w:jc w:val="left"/>
              <w:rPr/>
            </w:pPr>
            <w:r>
              <w:rPr/>
              <w:t>Huntington Securities,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33,000,000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39,000,000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05" w:type="dxa"/>
            <w:tcBorders/>
            <w:shd w:fill="FFFFFF" w:val="clear"/>
            <w:tcMar>
              <w:bottom w:w="0" w:type="dxa"/>
            </w:tcMar>
            <w:vAlign w:val="center"/>
          </w:tcPr>
          <w:p>
            <w:pPr>
              <w:pStyle w:val="TableContents"/>
              <w:bidi w:val="0"/>
              <w:spacing w:before="0" w:after="283"/>
              <w:jc w:val="left"/>
              <w:rPr/>
            </w:pPr>
            <w:r>
              <w:rPr/>
              <w:t>J.P. Morgan Securities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19,250,000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22,750,000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05" w:type="dxa"/>
            <w:tcBorders/>
            <w:shd w:fill="CCEEFF" w:val="clear"/>
            <w:tcMar>
              <w:bottom w:w="0" w:type="dxa"/>
            </w:tcMar>
            <w:vAlign w:val="center"/>
          </w:tcPr>
          <w:p>
            <w:pPr>
              <w:pStyle w:val="TableContents"/>
              <w:bidi w:val="0"/>
              <w:spacing w:before="0" w:after="283"/>
              <w:jc w:val="left"/>
              <w:rPr/>
            </w:pPr>
            <w:r>
              <w:rPr/>
              <w:t>M&amp;T Securities,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19,250,000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22,750,000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05" w:type="dxa"/>
            <w:tcBorders/>
            <w:shd w:fill="FFFFFF" w:val="clear"/>
            <w:tcMar>
              <w:bottom w:w="0" w:type="dxa"/>
            </w:tcMar>
            <w:vAlign w:val="center"/>
          </w:tcPr>
          <w:p>
            <w:pPr>
              <w:pStyle w:val="TableContents"/>
              <w:bidi w:val="0"/>
              <w:spacing w:before="0" w:after="283"/>
              <w:jc w:val="left"/>
              <w:rPr/>
            </w:pPr>
            <w:r>
              <w:rPr/>
              <w:t>RBC Capital Markets,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19,250,000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22,750,000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05"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1220" w:type="dxa"/>
            <w:tcBorders>
              <w:bottom w:val="double" w:sz="10" w:space="0" w:color="000000"/>
            </w:tcBorders>
            <w:shd w:fill="CCEEFF" w:val="clear"/>
            <w:vAlign w:val="center"/>
          </w:tcPr>
          <w:p>
            <w:pPr>
              <w:pStyle w:val="TableContents"/>
              <w:bidi w:val="0"/>
              <w:spacing w:before="0" w:after="283"/>
              <w:jc w:val="right"/>
              <w:rPr/>
            </w:pPr>
            <w:r>
              <w:rPr/>
              <w:t>550,000,000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1220" w:type="dxa"/>
            <w:tcBorders>
              <w:bottom w:val="double" w:sz="10" w:space="0" w:color="000000"/>
            </w:tcBorders>
            <w:shd w:fill="CCEEFF" w:val="clear"/>
            <w:vAlign w:val="center"/>
          </w:tcPr>
          <w:p>
            <w:pPr>
              <w:pStyle w:val="TableContents"/>
              <w:bidi w:val="0"/>
              <w:spacing w:before="0" w:after="283"/>
              <w:jc w:val="right"/>
              <w:rPr/>
            </w:pPr>
            <w:r>
              <w:rPr/>
              <w:t>650,000,000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underwriters and their controlling persons against certain liabilities in connection with this offering, including liabilities under the Securities Act, or to contribute to payments the underwriters may be required to make in respect of those liabilities.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representatives have advised us that the underwriters propose initially to offer the notes to the public at the public offering price for that series set forth on the cover page of this prospectus supplement and to certain dealers at such price less a concession not in excess of, for the 2031 notes, 0.350% of the principal amount of such series of notes, and for the 2036 notes, 0.400% of the principal amount of such series of notes. After the initial offering, the public offering price, concessions, reallowance discount or any other term of the offering may be changed.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of the offering, not including the underwriting discount, are estimated at $2,589,000 and are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Issues of Notes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of notes is a new issue of securities with no established trading market. We do not intend to apply for listing of the notes of either series on any securities exchange or for inclusion of the notes of either series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of either series or that an active public market for the notes of either series will develop. If an active public trading market for the notes of either series does not develop, the market price and liquidity of such notes may be adversely affected. If the notes of either series are traded, they may trade at a discount from their initial offering price, depending on prevailing interest rates, the market for similar securities, our operating performance and financial condition, general economic conditions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Sales of Similar Securities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that we will not, through and including the business day following the closing of this offering, without first obtaining the prior written consent of the representatives, directly or indirectly, issue, offer, sell, offer to sell or grant any option to sell, pledge, transfer or otherwise dispose of any debt securities or securities exchangeable for or convertible into debt securities, except for the notes sold to the underwriters pursuant to the underwriting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Short Positions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the notes than they are required to purchase in the offering. The underwriters must close out any short position by purchasing the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subsidiaries for which they received or may in the future receive customary fees and expenses. In particular, affiliates of certain underwriters are lenders under the Existing Credit Facility.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those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Bank is the Trustee under the indenture. The Trustee has, and certain of its affiliates may from time to time have, banking and other relationships with us and certain of our affiliates. Truist Securities, Inc., an affiliate of the Trustee, is an underwriter in this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Conflicts of Interest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underwriters and/or their affiliates are lenders under the Existing Credit Facility and, accordingly, will receive pro rata portions of the net proceeds from this offering used to pay down borrowings outstanding thereunder. Nonetheless, in accordance with the Financial Industry Regulatory Authority, Inc. Rule 5121, the appointment of a qualified independent underwriter is not necessary in connection with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delivery of the notes will be made to investors on or about July 16, 2026, which will be the third business day following the date of this prospectus supplement (such settlement being referred to as “T+3”). Under Rule 15c6-1 under the Securities Exchange Act of 1934, trades in the secondary market are required to settle in one business day, unless the parties to any such trade expressly agree otherwise. Accordingly, purchasers who wish to trade notes prior to the business day prior to the delivery date, by virtue of the fact that the notes initially settle in T+3, to specify an alternate settlement arrangement at the time of any such trade to prevent a failed settlement. Purchasers of the notes who wish to trade the notes before the business day prior to their date of delivery hereunder should consult their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Canada</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legislation in certain provinces or territories of Canada may provide a purchaser with remedies for rescission or damages if this prospectus supplement and the accompanying prospectus (including any amendment thereto) contain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3A.3 of National Instrument 33-105 Underwriting Conflicts (“NI 33-105”), the underwriters are not required to comply with the disclosure requirements of NI 33-105 regarding underwriter conflicts of interest in connection with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European Economic Area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or (ii) a customer within the meaning of Directive (EU) 2016/97,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have been prepared on the basis that any offer of the notes in any member state of the EEA will be made pursuant to an exemption under the Prospectus Regulation from the requirement to publish a prospectus for offers of the notes. This prospectus supplement and the accompanying prospectus are not a prospectus for the purposes of the Prospectus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United Kingdom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which are the subject of the offering contemplated by this prospectus supplement in relation thereto have not been offered, sold, distributed or otherwise made available and will not be offered, sold, distributed or otherwise made available to any retail investor in the United Kingdom (the “UK”). For the purposes of this provision:</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both"/>
              <w:rPr/>
            </w:pPr>
            <w:r>
              <w:rPr/>
              <w:t>the expression “retail investor” means a person who is either one or both of the following: (i) not a professional client, as defined in point (8) of Article 2(1) of Regulation (EU) No 600/2014 as it forms part of domestic law by virtue of the EUWA; or (ii) not a qualified investor as defined in paragraph 15 of Schedule 1 to the Public Offers and Admissions to Trading Regulations 2024;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both"/>
              <w:rPr/>
            </w:pPr>
            <w:r>
              <w:rPr/>
              <w:t>the expression “offer” includes the communication in any form and by any means of sufficient information on the terms of the offer and the notes to be offered so as to enable an investor to decide to buy or subscribe for the notes.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Switzerland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Dubai International Financial Centre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relate to an Exempt Offer in accordance with the Markets Law, DIFC Law No. 1 of 2012, as amended. This prospectus supplement and the accompanying prospectus are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and the accompanying prospectus nor taken steps to verify the information set forth herein and has no responsibility for this prospectus supplement and the accompanying prospectus. The notes to which this prospectus supplement and the accompanying prospectus relate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have not been offered or sold and will not be offered or sold in Hong Kong, by means of any document, other than (i) to “professional investors” as defined in the Securities and Futures Ordinance (Cap. 571 of the laws of Hong Kong) (the “SFO”) and any rules made thereunder; or (ii) in other circumstances which do not result in this prospectus supplement being a “prospectus” as defined in the Companies (Winding Up and Miscellaneous Provisions) Ordinance (Cap. 32 of the Laws of Hong Kong) (the “C(WUMP)O”) or which do not constitute an offer to the public within the meaning of the C(WUMP)O. No advertisement, invitation or document relating to the notes has been issued or will be issued or has been or will be in the possession of, any person for the purpose of issue (in each case whether in Hong Kong or elsewhere),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Japan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have not been and will not be registered under the Financial Instruments and Exchange Law of Japan (as amended, the “FIEL”) and accordingly, each underwriter has acknowledged and agreed that it has not offered or sold and will not offer or sell any notes, directly or indirectly, in Japan or to, or for the account or benefit of, any resident of Japan (which term as used herein means any person resident in Japan, including any corporation or other entity organized under the laws of Japan), or to others for re-offering or resale, directly or indirectly, in Japan or to, or for the account or benefit of, any resident of Japan, except pursuant to an exemption from the registration requirements of the FIEL, and otherwise in compliance with, the FIEL and any other applicable laws, regulations and ministerial guidelines of Japan.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has not been registered as a prospectus with the Monetary Authority of Singapore. Accordingly, this prospectus supplement or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SFA) pursuant to Section 274 of the SFA or (ii) to an accredited investor (as defined in Section 4A of the SFA) pursuant to and in accordance with the conditions specified in Section 275 of the SFA.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to the SFA is a reference to the Securities and Futures Act 2001 of Singapore and a reference to any term as defined in the SFA or any provision in the SFA is a reference to that term or provision as modified or amended from time to time including by such of its subsidiary legislation as may be applicable at the relevant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Taiwan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may be made available for purchase outside Taiwan by investors residing in Taiwan (either directly or through properly licensed Taiwan intermediaries acting on behalf of such investors) but may not be offered or sold in Taiwan.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Republic of 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have not been and will not be registered under the Financial Investment Services and Capital Markets Act and the decrees and regulations thereunder (the “FSCMA”) and the notes have been and will be offered in Korea as a private placement under the FSCMA. None of the notes may be offered, sold and delivered, directly or indirectly, or offered or sold to any person for re-offering or resale, directly or indirectly, in Korea or to any resident of Korea except as otherwise permitted under the applicable laws and regulations of Korea, including the FSCMA and the Foreign Exchange Transaction Law of Korea and the decrees and regulations thereunder (the “FETL”). Furthermore, the purchaser of the notes shall comply with all applicable regulatory requirements (including but not limited to requirements under the FETL) in connection with the purchase of the notes. By the purchase of the notes, the relevant holder thereof will be deemed to represent and warrant that if it is in Korea or a resident of Korea, it purchased the Notes pursuant to the applicable laws and regulations of Korea.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S-43</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7" w:name="pro_017"/>
      <w:bookmarkEnd w:id="17"/>
      <w:r>
        <w:rPr>
          <w:rFonts w:ascii="Times New Roman;Times;Serif" w:hAnsi="Times New Roman;Times;Serif"/>
          <w:b/>
          <w:i w:val="false"/>
          <w:caps/>
          <w:sz w:val="20"/>
        </w:rPr>
        <w:t>Legal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notes and certain other legal matters relating to the offering will be passed upon for us by Akerman LLP, Miami, Florida. Certain legal matters will be passed upon for the underwriters by King &amp; Spalding LLP, New York, New York.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8" w:name="pro_018"/>
      <w:bookmarkEnd w:id="18"/>
      <w:r>
        <w:rPr>
          <w:rFonts w:ascii="Times New Roman;Times;Serif" w:hAnsi="Times New Roman;Times;Serif"/>
          <w:b/>
          <w:i w:val="false"/>
          <w:caps/>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HEICO Corporation incorporated by reference in this prospectus, and the effectiveness of HEICO Corporation’s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S-44</w:t>
      </w:r>
    </w:p>
    <w:p>
      <w:pPr>
        <w:pStyle w:val="TextBody"/>
        <w:bidi w:val="0"/>
        <w:ind w:left="0" w:right="0" w:firstLine="36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23975" cy="209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1323975" cy="209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br/>
        <w:t>Class A Common Stock</w:t>
        <w:br/>
        <w:t>Preferred Stock</w:t>
        <w:br/>
        <w:t>Debt Securities</w:t>
        <w:br/>
        <w:t>Depositary Shares</w:t>
        <w:br/>
        <w:t>Warrants</w:t>
        <w:b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 may offer Common Stock, Class A Common Stock, preferred stock, debt securities, depositary shares, warrants and units (collectively, the “securities”) from time to time in amounts, at prices and on terms that will be determined at the time of any such offering. These securities also may be offered by shareholders, if so provided in a prospectus supplement hereto. We will provide specific information about any selling shareholders in one or more supplements to this prospectus. We will not receive any proceeds from sales of securities by the selling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the general terms of these securities and the general manner in which we and the selling shareholders will offer the securities. The specific terms of any securities we or the selling shareholders offer will be included in a supplement to this prospectus. The prospectus supplement will also describe the specific manner in which we and the selling shareholders will offer the securities. The prospectus supplements may also add, update or change information contained in this prospectus. You should read this prospectus and any supplements or other offering materials carefully before you invest. This prospectus may not be used to sell securities unless accompanied by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New York Stock Exchange (“NYSE”) under the symbol “HEI.” The last reported sale price of our Common Stock on July 10, 2026, was $350.92 per share. Our Class A Common Stock is traded on the NYSE under the symbol “HEI.A.” The last reported sale price of our Class A Common Stock on July 10, 2026, was $254.07 per share. We have not determined whether we will list any of the other securities we may offer on any exchange or over-the-counter market. If we decide to seek the listing of any securities, the supplement will disclose the exchange or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these securities involves risks. You should carefully consider the risks described under the “Risk Factors” section of this prospectus beginning on page 3, our filings with the Securities and Exchange Commission (“SEC”) and any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5765"/>
        <w:gridCol w:w="245"/>
      </w:tblGrid>
      <w:tr>
        <w:trPr/>
        <w:tc>
          <w:tcPr>
            <w:tcW w:w="576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576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PROSPECTUS SUMMARY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576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RISK FACTORS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576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SPECIAL NOTE REGARDING FORWARD-LOOKING STATEMENTS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576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USE OF PROCEEDS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576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SELLING SHAREHOLDERS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576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DESCRIPTION OF OUR CAPITAL STOCK</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576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DEBT SECURITIES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576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DESCRIPTION OF DEPOSITARY SHARES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576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WARRANTS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576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UNITS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576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PLAN OF DISTRIBUTION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576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GENERAL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576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LEGAL MATTERS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76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EXPERTS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76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WHERE YOU CAN FIND ADDITIONAL INFORMATION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76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INCORPORATION OF CERTAIN DOCUMENTS BY REFERENCE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01"/>
      <w:bookmarkEnd w:id="19"/>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 utilizing a “shelf” registration process. Under this shelf registration process, we may, from time to time, sell any combination of securities described in this prospectus in one or more offerings. These securities also may be offered by shareholders, if so provided in a prospectus supplement hereto. We will provide specific information about any selling shareholders in one or more supplements to this prospectus. This prospectus provides you with a general description of the securities we and the selling shareholders may offer. Each time we or the selling shareholders sell securities, we will provide a prospectus supplement that will contain specific information about the terms of that offering and the securities being offered. Material federal income tax considerations applicable to the offered securities will also be discussed in the applicable prospectus supplement as necessary. The prospectus supplement may also add, update or change information contained in this prospectus. You should read both this prospectus and any applicable prospectus supplement together with the additional information described below under the heading “Where You Can Find Additional Information” and “Incorporation of Certain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contain all of the information set forth in the registration statement, portions of which we have omitted as permitted by the rules and regulations of the SEC. Statements contained in this prospectus as to the contents of any contract or other document are not necessarily complete. You should refer to the copy of each contract or document filed as an exhibit to the registration statement for a complete description.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into this prospectus or any applicable prospectus supplements filed with the SEC. We have not authorized anyone to provide you with different or additional information and, if you are given any information or representation about these matters that is not contained or incorporated by reference in this prospectus or a prospectus supplement, you must not rely on that information. The selling shareholders will offer to sell and seek offers to buy securities only in jurisdictions in which offers and sales are permitted. The information contained in this prospectus is accurate only as of the date of this prospectus, regardless of the time of delivery of this prospectus or any sale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all references in this prospectus to “HEICO,” the “Company,” “we,” “us,” and “our” refer to HEICO Corporation and our consolidated subsidiaries. Unless otherwise stated or indicated by context, the phrase “this prospectus” refers to the prospectus and any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w:t>
      </w:r>
    </w:p>
    <w:p>
      <w:pPr>
        <w:pStyle w:val="TextBody"/>
        <w:bidi w:val="0"/>
        <w:spacing w:before="0" w:after="0"/>
        <w:jc w:val="center"/>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20" w:name="a_002"/>
      <w:bookmarkEnd w:id="20"/>
      <w:r>
        <w:rPr>
          <w:rFonts w:ascii="Times New Roman;Times;Serif" w:hAnsi="Times New Roman;Times;Serif"/>
          <w:b/>
          <w:i w:val="false"/>
          <w:caps w:val="false"/>
          <w:smallCaps w:val="false"/>
          <w:sz w:val="20"/>
          <w:bdr w:val="single" w:sz="12" w:space="5" w:color="000000"/>
        </w:rPr>
        <w:t>PROSPECTUS SUMMARY</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This summary highlights information contained elsewhere in this prospectus or the documents incorporated by reference herein. It is not complete and may not contain all of the information that you should consider before investing in these securities. You should carefully read the entire prospectus, including the “Risk Factors” section, the documents incorporated by reference into this prospectus, and any prospectus supplement.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HEICO Corporation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HEICO Corporation through its subsidiaries believes it is the world’s largest manufacturer of Federal Aviation Administration (“FAA”)-approved jet engine and aircraft component replacement parts, other than the original equipment manufacturers (“OEMs”) and their subcontractors. HEICO also believes it is a leading manufacturer of various types of electronic equipment for the aviation, defense, space, medical, telecommunications and electronics industries.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was originally organized in 1957 as a holding company known as HEICO Corporation. As part of a reorganization completed in 1993, the original holding company (formerly known as HEICO Corporation) was renamed as HEICO Aerospace Corporation and a new holding corporation known as HEICO Corporation was created. The reorganization did not result in any change in the business of the Company, its consolidated assets or liabilities or the relative interests of its shareholders.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business is comprised of two operating segments: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The Flight Support Group. </w:t>
      </w:r>
      <w:r>
        <w:rPr>
          <w:rFonts w:ascii="Times New Roman;Times;Serif" w:hAnsi="Times New Roman;Times;Serif"/>
          <w:b w:val="false"/>
          <w:i w:val="false"/>
          <w:caps w:val="false"/>
          <w:smallCaps w:val="false"/>
          <w:sz w:val="20"/>
          <w:bdr w:val="single" w:sz="12" w:space="5" w:color="000000"/>
        </w:rPr>
        <w:t>Our Flight Support Group (“FSG”), consisting of HEICO Aerospace Holdings Corp. and HEICO Flight Support Corp. and their collective subsidiaries, accounted for 70%, 68% and 60% of our net sales in fiscal 2025, 2024 and 2023, respectively. The FSG uses proprietary technology to design and manufacture jet engine and aircraft component replacement parts for sale at lower prices than those manufactured by OEMs. These parts are approved by the FAA and are the functional equivalent of parts sold by OEMs. In addition, the FSG repairs, overhauls and distributes jet engine and aircraft components, avionics and instruments for domestic and foreign commercial air carriers and aircraft repair companies as well as military and business aircraft operators. The FSG also manufactures and sells specialty parts as a subcontractor for aerospace and industrial original equipment manufacturers and the United States (“U.S.”) government. Additionally, the FSG is a leading supplier, distributor, and integrator of military aircraft parts and support services primarily to the U.S. Department of Defense, defense prime contractors, and foreign military organizations allied with the U.S. Further, the FSG is a leading manufacturer of advanced niche components and complex composite assemblies for commercial aviation, defense and space applications. The FSG also engineers, designs and manufactures thermal insulation blankets and parts as well as removable/reusable insulation systems for aerospace, defense, commercial and industrial applications; manufactures expanded foil mesh for lightning strike protection in fixed and rotary wing aircraft; distributes aviation electrical interconnect products and electromechanical parts; overhauls industrial pumps, motors, and other hydraulic units with a focus on the support of legacy systems for the U.S. Navy; performs tight-tolerance machining, brazing, fabricating and welding services for aerospace, defense and other industrial applications; and manufactures emergency descent devices (“EDDs”) and personnel and cargo parachute products.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Electronic Technologies Group</w:t>
      </w:r>
      <w:r>
        <w:rPr>
          <w:rFonts w:ascii="Times New Roman;Times;Serif" w:hAnsi="Times New Roman;Times;Serif"/>
          <w:b w:val="false"/>
          <w:i w:val="false"/>
          <w:caps w:val="false"/>
          <w:smallCaps w:val="false"/>
          <w:sz w:val="20"/>
          <w:bdr w:val="single" w:sz="12" w:space="5" w:color="000000"/>
        </w:rPr>
        <w:t>. Our Electronic Technologies Group (“ETG”), consisting of HEICO Electronic Technologies Corp. and its subsidiaries, accounted for 30%, 32% and 40% of our net sales in fiscal 2025, 2024 and 2023, respectively. The ETG derived approximately 51%, 51% and 49% of its net sales in fiscal 2025, 2024 and 2023, respectively, from the sale of products and services to U.S. and foreign military agencies, prime defense contractors and both commercial and defense satellite and spacecraft manufacturers. The ETG collectively designs, manufactures and sells various types of electronic, data and microwave, and electro-optical products, including infrared simulation and test equipment, laser rangefinder receivers, electrical power supplies, back-up power supplies, power conversion products, underwater locator beacons, emergency locator transmission beacons, flight deck annunciators, panels, indicators, electromagnetic and radio frequency interference shielding and filters, high power capacitor charging power supplies, amplifiers, traveling wave tube amplifiers, photodetectors, amplifier modules, microwave power modules, flash lamp drivers, laser diode drivers, arc lamp power supplies, custom power supply designs, cable assemblies, high voltage power supplies, high voltage interconnection devices and wire, high voltage energy generators, high frequency power delivery systems; memory products, including three-dimensional microelectronic and stacked memory, static random-access memory (SRAM), and electronically erasable programmable read-only memory (EEPROM); harsh environment electronic connectors and other interconnect products, radio frequency (“RF”) and microwave amplifiers, transmitters, and receivers and integrated assemblies, sub-assemblies and components; RF sources, detectors and controllers, wireless cabin control systems, solid state power distribution and management systems, proprietary in-cabin power and entertainment components and subsystems, cockpit displays and other avionics components, crashworthy and ballistically self-sealing auxiliary fuel systems, nuclear radiation detectors, communications and electronic intercept receivers and tuners, fuel level sensing systems, high-speed interface products that link devices, high performance active antenna systems and airborne antennas for commercial and military aircraft, precision guided munitions, other defense applications and commercial uses; silicone material for a variety of demanding applications; precision power analog monolithic, hybrid and open frame components; high-reliability ceramic-to-metal feedthroughs and connectors, technical surveillance countermeasures (TSCM) equipment to detect devices used for espionage and information theft; rugged small-form factor embedded computing solutions; custom high power filters and filter assemblies; test sockets and adapters for both engineering and production use of semiconductor devices; radiation assurance services and products; and high reliability (“Hi-Rel”), complex, passive electronic components and rotary joint assemblies for mostly aerospace and defense applications, in addition to other high-end applications, such as medical and energy uses, including emerging “clean energy” and electrification applications.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HEICO has continuously operated in the aerospace industry for over 65 years. Since assuming control in 1990, our current management has achieved significant sales and profit growth through a broadened line of product offerings, an expanded customer base, increased research and development expenditures and the completion of many acquisitions. As a result of internal growth and acquisitions, our net sales from continuing operations have grown from $26.2 million in fiscal 1990 to $4,485.0 million in fiscal 2025, representing a compound annual growth rate of approximately 16%. During the same period, we improved our net income from $2.0 million to $690.4 million, representing a compound annual growth rate of approximately 18%.</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Acquisitions have been an important element of our growth strategy over the past thirty-six years, supplementing our organic growth. Since 1990, we have completed approximately 113 acquisitions complementing the niche segments of the aviation, defense, space, medical, telecommunications and electronics industries in which we operate. We typically target acquisition opportunities that allow us to broaden our product offerings, services and technologies while expanding our customer base and geographic presence. Even though we have historically pursued an active acquisition policy, our disciplined acquisition strategy involves limiting acquisition candidates to businesses that we believe will continue to grow, offer strong cash flow and earnings potential, and are available at fair prices.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HEICO’s corporate headquarters is located at 3000 Taft Street, Hollywood, Florida 33021. Our telephone number is (954) 987-4000 and our Internet website address is </w:t>
      </w:r>
      <w:r>
        <w:rPr>
          <w:rFonts w:ascii="Times New Roman;Times;Serif" w:hAnsi="Times New Roman;Times;Serif"/>
          <w:b w:val="false"/>
          <w:i/>
          <w:caps w:val="false"/>
          <w:smallCaps w:val="false"/>
          <w:sz w:val="20"/>
          <w:bdr w:val="single" w:sz="12" w:space="5" w:color="000000"/>
        </w:rPr>
        <w:t>www.heico.com</w:t>
      </w:r>
      <w:r>
        <w:rPr>
          <w:rFonts w:ascii="Times New Roman;Times;Serif" w:hAnsi="Times New Roman;Times;Serif"/>
          <w:b w:val="false"/>
          <w:i w:val="false"/>
          <w:caps w:val="false"/>
          <w:smallCaps w:val="false"/>
          <w:sz w:val="20"/>
          <w:bdr w:val="single" w:sz="12" w:space="5" w:color="000000"/>
        </w:rPr>
        <w:t>. The information on our website is not a part of, or incorporated in, this prospectus.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3"/>
      <w:bookmarkEnd w:id="21"/>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Investing in our securities involves certain risks. Our business is influenced by many factors that are difficult to predict, involve uncertainties that may materially affect actual results and are often beyond our control. We have identified, or will identify, a number of these factors under the heading “Risk Factors” in our most recent Annual Report on Form 10-K and subsequent Quarterly Reports on Form 10-Q, as well as in other information or reports included or incorporated by reference in this prospectus and any prospectus supplement. Before making a decision to invest in our securities, you should carefully consider these risks, as well as the other information included or incorporated by reference in this prospectus and any prospectus supplement. For additional information, see below under the heading “Where You Can Find Additional Information” and “Incorporation of Certain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04"/>
      <w:bookmarkEnd w:id="22"/>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 this prospectus contain “forward-looking statements” within the meaning of Section 27A of the Securities Act of 1933, as amended (the “Securities Act”), and Section 21E of the Securities Exchange Act of 1934, as amended (the “Exchange Act”). These statements, which in some cases, you can identify by terms such as “may,” “will,” “should,” “could,” “would,” “expects,” “plans,” “anticipates,” “believes,” “estimates,” “projects,” “predicts,” “potential” and similar expressions intended to identify forward-looking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These statements include statements regarding our operations, cash flows, and financial position. These statements reflect our current views with respect to future events and are based on assumptions and subject to risks and uncertainties.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these statements are based upon reasonable assumptions, these statements expressing opinions about future outcomes and non-historical information are subject to a number of risks and uncertainties, many of which are beyond our control, and reflect future business decisions that are subject to change and, therefore, there is no assurance that the outcomes expressed in these statements will be achieved. Some of the assumptions, future results and levels of performance expressed or implied in the forward-looking statements we have made or may make in the future inevitably will not materialize, and unanticipated events may occur which will affect our results. Investors are cautioned that forward-looking statements are not guarantees of future performance and actual results or developments may differ materially from the expectations expressed in forward-looking statements contained herein. Given these uncertainties, you should not place undue reliance on these forward-looking statements. We discuss many of these risks and uncertainties in greater detail under “Risk Factors” discussed under the caption “Item 1A. Risk Factors” in Part I of our most recent Annual Report on Form 10-K or any updates discussed under the caption “Item 1A. Risk Factors” in Part II of our Quarterly Reports on Form 10-Q, together with all of the other information appearing in or incorporated by reference into this prospectus. You should read this prospectus completely and with the understanding that our actual future results may be materially different from what we expect. We qualify all of the forward-looking statements in this prospectus by these cautionary statements. We undertake no obligation to publicly update any forward-looking statement, whether as a result of new information, future events or otherwise, except as may be required under the securities laws of the United States. You are advised, however, to consult any additional disclosures we make in our reports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05"/>
      <w:bookmarkEnd w:id="23"/>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our intended use of the net proceeds from any particular offering in the related prospectus supplement. We will not receive any proceeds from sales of securities by the selling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06"/>
      <w:bookmarkEnd w:id="24"/>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the registration statement of which this prospectus forms a part is used by selling shareholders for the resale of any securities registered thereunder, information about such selling shareholders, their beneficial ownership of the securities and their relationship with us will be set forth in a prospectus supplement, in a post-effective amendment, or in filings we make with the SEC under the Exchange Act that are incorporated by reference to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07"/>
      <w:bookmarkEnd w:id="25"/>
      <w:r>
        <w:rPr>
          <w:rFonts w:ascii="Times New Roman;Times;Serif" w:hAnsi="Times New Roman;Times;Serif"/>
          <w:b/>
          <w:i w:val="false"/>
          <w:caps w:val="false"/>
          <w:smallCaps w:val="false"/>
          <w:sz w:val="20"/>
        </w:rPr>
        <w:t>DESCRIPTION OF OUR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up to 150,000,000 shares of Common Stock, par value $.01 per share, 150,000,000 shares of Class A Common Stock, par value $.01 per share, and 10,000,000 shares of Preferred Stock, par value $.01 per share. As of July 9, 2026, (i) 55,235,561 shares of Common Stock were outstanding and such shares were held by approximately 228 holders of record and (ii) 84,502,147 shares of Class A Common Stock were outstanding and such shares were held by approximately 253 holders of record. None of the Preferred Stock is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Common Stock and Class A Common Stock is Broadridge Financial Solutions, telephone number (800) 353-0103.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descriptions of the Common Stock, the Class A Common Stock and the Preferred Stock are based on our amended and restated Articles of Incorporation, as amended (“Articles of Incorporation”), amended and restated Bylaws and applicable Florida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Common Stock is entitled to one vote for each share owned of record on all matters presented to the shareholders. In the event of a liquidation, dissolution or winding up of the Company, the holders of Common Stock are entitled to share equally and ratably in the assets of the Company, if any, remaining after the payment of all of our debts and liabilities and the liquidation preference of any outstanding Preferred Stock. The Common Stock has no preemptive rights, no cumulative voting rights and no redemption, sinking fund or conversion provisions. As of July 9, 2026, 5,008,363 shares are reserved for issuance as either Common Stock or Class A Common Stock under our existing stock option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Class A Common Stock is entitled to the identical rights as the holders of Common Stock, except that each share of Common Stock will entitle the holder thereof to one vote in respect of matters submitted for the vote of holders of Common Stock, whereas each share of Class A Common Stock will entitle the holder thereof to one-tenth of a vote on such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Florida Business Corporation Act and our Articles of Incorporation do not require our Board of Directors to declare dividends on our Common Stock or Class A Common Stock. The declaration of any dividend on our Common Stock or Class A Common Stock is a matter to be acted upon by our Board of Directors in its sole discretion. Our payment of dividends on our Common Stock or Class A Common Stock in the future will be determined by our Board of Directors in its sole discretion and will depend on business conditions, our financial condition, earnings and liquidity, and other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Florida Business Corporation Act authorizes the Board of Directors to make distributions, including repurchases of stock, to its shareholders subject to restrictions in the corporation’s Articles of Incorporation. The Florida Business Corporation Act also provides that a corporation may not make distributions to its shareholders if, after giving effect to the dividend or distribution, the corporation would be unable to pay its debts as they become due in the usual course of business, or if the total assets of the corporation would be less than the sum of its total liabilities plus the amount needed, if the corporation were dissolved at the time the distribution was paid, to satisfy the preferential rights of shareholders whose preferential rights upon dissolution of the corporation are greater than those of the shareholders receiving the dividend.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Common Stock and Class A Common Stock are entitled to receive dividends if, as and when declared by the Board of Directors out of funds legally available therefor, subject to the dividend and liquidation rights of any Preferred Stock that may be issued and outstanding and subject to any dividend restrictions in our revolving credit facility. No dividends or other distributions (including redemptions or repurchases of shares of capital stock) may be made if, after giving effect to any such dividends or distributions, we would not be able to pay our debts as they become due in the usual course of business or our total assets would be less than the sum of our total liabilities plus the amount that would be needed at the time of a liquidation to satisfy the preferential rights of any holders of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historically paid semi-annual cash dividends on both our Class A Common Stock and Common Stock. During fiscal 2025, we paid an aggregate cash dividend of $0.23 per share, which represents a 10% increase over the aggregate cash dividend of $0.21 per share paid during fiscal 2024. In December 2025, our Board of Directors declared a semi-annual cash dividend of $0.12 per share paid in January 2026. Also, in June 2026, our Board of Directors declared our 96th consecutive semi-annual cash dividend since 1979 of $0.13 per share payable in July 2026.</w:t>
      </w:r>
    </w:p>
    <w:p>
      <w:pPr>
        <w:pStyle w:val="TextBody"/>
        <w:bidi w:val="0"/>
        <w:spacing w:before="0" w:after="0"/>
        <w:ind w:left="14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will continue to review our dividend policy and will regularly evaluate whether dividends should be paid in cash or stock, as well as what amounts should be paid. Our ability to pay dividends could be affected by a number of factors, including, but not limited to, future business performance, liquidity, capital needs, and alternative investment opportunities.</w:t>
      </w:r>
    </w:p>
    <w:p>
      <w:pPr>
        <w:pStyle w:val="TextBody"/>
        <w:bidi w:val="0"/>
        <w:spacing w:before="0" w:after="0"/>
        <w:ind w:left="144" w:right="0" w:firstLine="720"/>
        <w:jc w:val="both"/>
        <w:rPr>
          <w:caps w:val="false"/>
          <w:smallCaps w:val="false"/>
        </w:rPr>
      </w:pPr>
      <w:r>
        <w:rPr>
          <w:caps w:val="false"/>
          <w:smallCaps w:val="false"/>
        </w:rPr>
        <w:t> </w:t>
      </w:r>
    </w:p>
    <w:p>
      <w:pPr>
        <w:pStyle w:val="TextBody"/>
        <w:bidi w:val="0"/>
        <w:spacing w:before="0" w:after="0"/>
        <w:ind w:left="144"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144"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without further shareholder action, to designate and issue from time to time one or more series of Preferred Stock. The Board of Directors may fix and determine the designations, preferences and relative rights and qualifications, limitations or restrictions of any series of Preferred Stock so established, including voting powers, dividend rights, liquidation preferences, redemption rights and conversion privileges. Because the Board of Directors has the power to establish the preferences and rights of each series of Preferred Stock, it may afford the holders of any series of Preferred Stock preferences and rights, voting or otherwise senior to the rights of holders of Common Stock and Class A Common Stock. As of the date of this prospectus, the Board of Directors has not issued any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Certain Provisions of Florida Law, Our Articles of Incorporation and Bylaws, and the Preferred Stock Purchase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Articles and Bylaws. </w:t>
      </w:r>
      <w:r>
        <w:rPr>
          <w:rFonts w:ascii="Times New Roman;Times;Serif" w:hAnsi="Times New Roman;Times;Serif"/>
          <w:b w:val="false"/>
          <w:i w:val="false"/>
          <w:caps w:val="false"/>
          <w:smallCaps w:val="false"/>
          <w:sz w:val="20"/>
        </w:rPr>
        <w:t>Some of the provisions of our Articles of Incorporation and amended and restated Bylaws may be deemed to have anti-takeover effects and may discourage, delay, defer or prevent a takeover attempt that a shareholder might consider in its best interest. These provisions do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 advance notice procedures for the nomination of candidates for election as directors and for shareholder proposals to be considered at annual shareholders’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special meetings of the shareholders may be called by the Chairman of the Board of Directors or the President of HEICO or by a majority of the Board of Directors and shall be called by the President or the Secretary at the request of a majority of the Board of Directors then in office or at the request of the holders of not less than one-tenth (1/10th) of all the outstanding shares of the corporation entitled to vote at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the issuance of up to 10,000,000 shares of Preferred Stock with the designations, rights, preferences and limitations as may be determined from time to time by the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75"/>
        <w:gridCol w:w="170"/>
        <w:gridCol w:w="8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the issuance of up to 150,000,000 shares of Common Stock having one vote per share; and</w:t>
            </w:r>
          </w:p>
        </w:tc>
      </w:tr>
    </w:tbl>
    <w:p>
      <w:pPr>
        <w:pStyle w:val="TextBody"/>
        <w:bidi w:val="0"/>
        <w:spacing w:before="0" w:after="0"/>
        <w:ind w:left="0" w:right="0" w:hanging="0"/>
        <w:jc w:val="left"/>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75"/>
        <w:gridCol w:w="170"/>
        <w:gridCol w:w="97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authorize the issuance of up to 150,000,000 shares of Class A Common Stock having one-tenth (1/10th) vote per share.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Accordingly, without shareholder approval, the Board of Directors can,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preferred stock with dividend, liquidation, conversion, voting or other rights that could adversely affect the voting powers or other rights of holders of our Common Stock and Class A Common Stock;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help maintain the voting power of existing Common Stock shareholders and deter or frustrate takeover attempts that existing holders of Common Stock might consider to be in their best interest by issuing additional shares of Class A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Florida Law. </w:t>
      </w:r>
      <w:r>
        <w:rPr>
          <w:rFonts w:ascii="Times New Roman;Times;Serif" w:hAnsi="Times New Roman;Times;Serif"/>
          <w:b w:val="false"/>
          <w:i w:val="false"/>
          <w:caps w:val="false"/>
          <w:smallCaps w:val="false"/>
          <w:sz w:val="20"/>
        </w:rPr>
        <w:t>Furthermore, some of the provisions of the Florida Business Corporation Act could have the effect of delaying, deferring or preventing a change in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08"/>
      <w:bookmarkEnd w:id="26"/>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 summarizes the material terms and provisions of the debt securities that we may offer under this prospectus. While the terms we have summarized below will generally apply to any future debt securities we may offer under this prospectus, we will describe the particular terms of any debt securities that we may offer in more detail in the applicable prospectus supplement. The terms of any debt securities we offer under a prospectus supplement may differ from the terms we describe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debt securities in the form of either senior debt securities or subordinated debt securities. The senior debt securities and the subordinated debt securities are together referred to in this prospectus as the “debt securities.” Unless otherwise specified in a supplement to this prospectus, the senior debt securities will be our direct, unsecured obligations and will rank equally with all of our other unsecured and unsubordinated indebtedness. The subordinated debt securities generally will be entitled to payment only after payment of our senior debt. See “Description of Debt Securities - Subordination”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issued under an indenture between us and a trustee. We have summarized below the general features of the debt securities to be governed by the indenture. The form of summary is not complete. The form of indenture has been filed as an exhibit to the registration statement that we have filed with the SEC, of which this prospectus forms a part. We encourage you to read the applicable prospectus supplements related to the debt securities that we may offer under this prospectus, as well as the indenture. Capitalized terms used in the summary have the meanings specified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of Directors, or a committee thereof, and set forth or determined in the manner provided in an officers’ certificate or by a supplemental indenture. The particular terms of each series of debt securities will be described in a prospectus supplement relating to such series, including any pricing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issue an unlimited amount of debt securities under the indenture that may be in one or more series with the same or various maturities, at par, at a premium or at a discount. We will set forth in a prospectus supplement, including any pricing supplement, relating to any series of debt securities being offered, the aggregate principal amount and the following terms of the debt securities:</w:t>
      </w:r>
    </w:p>
    <w:p>
      <w:pPr>
        <w:pStyle w:val="TextBody"/>
        <w:bidi w:val="0"/>
        <w:spacing w:before="0" w:after="0"/>
        <w:ind w:left="0" w:right="0" w:firstLine="720"/>
        <w:jc w:val="both"/>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75"/>
        <w:gridCol w:w="170"/>
        <w:gridCol w:w="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w:t>
            </w:r>
          </w:p>
        </w:tc>
      </w:tr>
    </w:tbl>
    <w:p>
      <w:pPr>
        <w:pStyle w:val="TextBody"/>
        <w:bidi w:val="0"/>
        <w:spacing w:before="0" w:after="0"/>
        <w:ind w:left="0" w:right="0" w:hanging="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principal amount being offered, and, if a series, the total amount authorized and the total amount outstanding;</w:t>
            </w:r>
          </w:p>
        </w:tc>
      </w:tr>
    </w:tbl>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75"/>
        <w:gridCol w:w="170"/>
        <w:gridCol w:w="35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 on the amount that may be issued;</w:t>
            </w:r>
          </w:p>
        </w:tc>
      </w:tr>
    </w:tbl>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75"/>
        <w:gridCol w:w="170"/>
        <w:gridCol w:w="9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or not we will issue the series of debt securities in global form and, if so, the terms and who the depositary will be;</w:t>
            </w:r>
          </w:p>
        </w:tc>
      </w:tr>
    </w:tbl>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75"/>
        <w:gridCol w:w="170"/>
        <w:gridCol w:w="1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maturity date;</w:t>
            </w:r>
          </w:p>
        </w:tc>
      </w:tr>
    </w:tbl>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75"/>
        <w:gridCol w:w="170"/>
        <w:gridCol w:w="9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principal amount due at maturity, and whether the debt securities will be issued with any original issue discount;</w:t>
            </w:r>
          </w:p>
        </w:tc>
      </w:tr>
    </w:tbl>
    <w:p>
      <w:pPr>
        <w:pStyle w:val="TextBody"/>
        <w:bidi w:val="0"/>
        <w:spacing w:before="0" w:after="0"/>
        <w:ind w:left="0" w:right="0" w:hanging="0"/>
        <w:jc w:val="left"/>
        <w:rPr>
          <w:caps w:val="false"/>
          <w:smallCaps w:val="false"/>
        </w:rPr>
      </w:pPr>
      <w:r>
        <w:rPr>
          <w:caps w:val="false"/>
          <w:smallCaps w:val="false"/>
        </w:rPr>
        <w:t>  </w:t>
      </w:r>
    </w:p>
    <w:tbl>
      <w:tblPr>
        <w:tblW w:w="6063" w:type="dxa"/>
        <w:jc w:val="left"/>
        <w:tblInd w:w="0" w:type="dxa"/>
        <w:tblLayout w:type="fixed"/>
        <w:tblCellMar>
          <w:top w:w="0" w:type="dxa"/>
          <w:left w:w="0" w:type="dxa"/>
          <w:bottom w:w="0" w:type="dxa"/>
          <w:right w:w="0" w:type="dxa"/>
        </w:tblCellMar>
      </w:tblPr>
      <w:tblGrid>
        <w:gridCol w:w="38"/>
        <w:gridCol w:w="17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pPr>
            <w:r>
              <w:rPr/>
              <w:t>the guarantee provisions, if any, relating to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and under what circumstances, if any, we will pay additional amounts on any debt securities held by a person who is not a United States person for tax purposes, and whether we can redeem the debt securities if we have to pay such additional amounts;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tc>
      </w:tr>
    </w:tbl>
    <w:p>
      <w:pPr>
        <w:pStyle w:val="TextBody"/>
        <w:bidi w:val="0"/>
        <w:spacing w:before="0" w:after="0"/>
        <w:ind w:left="0" w:right="0" w:hanging="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or not the debt securities will be secured or unsecured, and the terms of any secured debt;</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the subordination of any series of subordinated debt;</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170"/>
        <w:gridCol w:w="3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 where payments will be payable;</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restrictions on transfer, sale or other assignment, if 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170"/>
        <w:gridCol w:w="79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right, if any, to defer payment of interest and the maximum length of any such deferral period;</w:t>
            </w:r>
          </w:p>
        </w:tc>
      </w:tr>
    </w:tbl>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5"/>
        <w:gridCol w:w="170"/>
        <w:gridCol w:w="1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redemption provisions;</w:t>
            </w:r>
          </w:p>
        </w:tc>
      </w:tr>
    </w:tbl>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provisions for a sinking fund purchase or other analogous fund,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if any, on which, and the price at which we are obligated, pursuant to any mandatory sinking fund or analogous fund provisions or otherwise, to redeem, or at the holder’s option to purchase, the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75"/>
        <w:gridCol w:w="170"/>
        <w:gridCol w:w="17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restrictive covenants;</w:t>
            </w:r>
          </w:p>
        </w:tc>
      </w:tr>
    </w:tbl>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75"/>
        <w:gridCol w:w="170"/>
        <w:gridCol w:w="9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any material or special United States federal income tax considerations applicable to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describing any book-entry features;</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procedures for any auction and remarketing,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denominations in which we will issue the series of debt securities, if other than denominations of $1,000 and any integral multiple thereof;</w:t>
            </w:r>
          </w:p>
        </w:tc>
      </w:tr>
    </w:tbl>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other than dollars, the currency in which the series of debt securities will be denominated;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which may be required by us or be advisable under applicable laws or regulations or advisable in connection with the marketing of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prospectus supplement the terms on which a series of debt securities may be convertible into or exchangeable for common stock or other securities of ours or a third-party,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or the securities of a third-party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includes certain customary covenants requiring us, among other things, to:</w:t>
      </w:r>
    </w:p>
    <w:p>
      <w:pPr>
        <w:pStyle w:val="TextBody"/>
        <w:bidi w:val="0"/>
        <w:spacing w:before="0" w:after="0"/>
        <w:ind w:left="0" w:right="0" w:firstLine="720"/>
        <w:jc w:val="both"/>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75"/>
        <w:gridCol w:w="170"/>
        <w:gridCol w:w="6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 the principal, interest and premium, if any, on the debt securities when due;</w:t>
            </w:r>
          </w:p>
        </w:tc>
      </w:tr>
    </w:tbl>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170"/>
        <w:gridCol w:w="2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a place of payment;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deliver an officer’s certificate to the trustee following the end of each fiscal year stating whether we are in default of any of the terms, provisions or conditions of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preserve and keep in full force and effect our corporate existence, except as otherwise provided in the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deposit sufficient funds with any paying agent on or before the due date for any principal, interest or premium, if 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and Sale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we may not consolidate with or merge into any other person, or convey, transfer or lease all or substantially all of our assets, unless: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the surviving person in the case of a merger, or the person formed by such consolidation or into which we merge or the person which acquires or leases, all or substantially all of the assets of the Company (the “successor company”), is a corporation organized and existing under the laws of the United States, any state or the District of Columbia and expressly assumes all of our responsibilities and liabilities under the indenture, including the punctual payment of all amounts due on the debt securities and performance of the covenants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immediately after giving effect to the transaction, no Event of Default (as defined below), and no event which, after notice or lapse of time or both, would become an Event of Default, exists;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deliver to the trustee an officer’s certificate and an opinion of counsel, each stating that all related conditions have been satisfied.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consolidation or merger, or any conveyance, transfer or lease of all or substantially all of the assets of the Company in accordance with the indenture, the successor company will succeed to, and be substituted for, and may exercise every right and power of ours under the indenture with the same effect as if the successor company had been named in our place in the indenture. The predecessor person will (except in the case of a lease) be discharged from all obligations and covenants under the indenture and any debt securities issued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debt securities of any series, an “Event of Default” means:</w:t>
      </w:r>
    </w:p>
    <w:p>
      <w:pPr>
        <w:pStyle w:val="TextBody"/>
        <w:bidi w:val="0"/>
        <w:spacing w:before="0" w:after="0"/>
        <w:ind w:left="93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in the payment of any interest upon debt securities of such series that continues for a period of 30 days after payment is due;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in the payment of the principal or premium, if any, on any debt securities of such series upon maturity, redemption, acceleration or otherwise;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in the deposit of any sinking fund payment when and as due under the terms of the debt securities of such series that continues for a period of 30 days after the date such deposit is due;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in the performance, or breach of, any covenant in the indenture and continuance of such default or breach for a period of 90 days after written notice to us of such default or breach from the trustee (or to us and the trustee from the holders of at least 25% of the principal amount of debt securities then outstanding under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70"/>
        <w:gridCol w:w="6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events of bankruptcy, insolvency or reorganization relating to us; or</w:t>
            </w:r>
          </w:p>
        </w:tc>
      </w:tr>
    </w:tbl>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70"/>
        <w:gridCol w:w="5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Event of Default specified in the terms of such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continuing Event of Default with respect to the debt securities of any series (other than an Event of Default regarding certain events of bankruptcy, insolvency or reorganization relating to us), either the trustee or the holders of at least 25% of the outstanding principal amount of the debt securities of such series may declare the principal amount of all of the debt securities of that series to be due and payable immediately. In the case of an Event of Default resulting from certain events of bankruptcy, insolvency or reorganization relating to us, the principal of and accrued and unpaid interest, if any, on all outstanding debt securities will become and be immediately due and payable without any declaration or other act on the part of the trustee or any holder of outstanding debt securities. At any time after the trustee or the holders, as the case may be, declare an acceleration with respect to the debt securities of any series, but before a judgment or decree based on such acceleration has been obtained, the holders of a majority in principal amount of the outstanding debt securities of such series may, under certain conditions, cancel such acceleration if we have cured all Events of Default (other than the nonpayment of accelerated principal) with respect to the debt securities of such series or all such Events of Default have been waived as provided in the indenture.</w:t>
      </w:r>
    </w:p>
    <w:p>
      <w:pPr>
        <w:pStyle w:val="TextBody"/>
        <w:bidi w:val="0"/>
        <w:spacing w:before="0" w:after="0"/>
        <w:ind w:left="216"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if there is a continuing Event of Default, the trustee need not exercise any of its rights or powers under the indenture at the request or direction of any of the holders of debt securities, unless such holders have offered, and if requested, provided, to the trustee security or indemnity satisfactory to the trustee in its sole discretion. Subject to such provisions for security or indemnification of the trustee and certain other conditions, the holders of a majority in aggregate principal amount of the outstanding debt securities of a series will have the right to direct the time, method and place of conducting any proceeding for any remedy available to the trustee or exercising any trust or power the trustee holds with respect to the debt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16"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pPr>
      <w:r>
        <w:rPr/>
        <w:t> </w:t>
      </w:r>
    </w:p>
    <w:p>
      <w:pPr>
        <w:pStyle w:val="TextBody"/>
        <w:bidi w:val="0"/>
        <w:spacing w:before="0" w:after="0"/>
        <w:ind w:left="216"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debt security of any series will have any right to institute any proceeding with respect to the indenture or for any remedy under the indenture unless:</w:t>
      </w:r>
    </w:p>
    <w:p>
      <w:pPr>
        <w:pStyle w:val="TextBody"/>
        <w:bidi w:val="0"/>
        <w:spacing w:before="0" w:after="0"/>
        <w:ind w:left="216"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holder has previously given written notice to the trustee of a continuing Event of Default with respect to the debt securities of that series;</w:t>
            </w:r>
          </w:p>
        </w:tc>
      </w:tr>
    </w:tbl>
    <w:p>
      <w:pPr>
        <w:pStyle w:val="TextBody"/>
        <w:bidi w:val="0"/>
        <w:spacing w:before="0" w:after="0"/>
        <w:ind w:left="216"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holders of not less than 25% of the aggregate principal amount of the outstanding debt securities of that series have made a written request to the trustee to institute proceedings in respect of such Event of Default in its own name as trustee under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holder or holders have offered, and if requested, provided to the trustee security or indemnity reasonably satisfactory to the trustee against the costs, expenses and liabilities to be incurred in compliance with such request;</w:t>
            </w:r>
          </w:p>
        </w:tc>
      </w:tr>
    </w:tbl>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75"/>
        <w:gridCol w:w="170"/>
        <w:gridCol w:w="9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trustee has failed to institute proceedings 60 days after the receipt of such notice, request and offer of indemnity;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direction inconsistent with such written request has been given for 60 days by the holders of a majority in aggregate principal amount of the outstanding debt securities of that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any debt security will have an absolute and unconditional right to receive payment of the principal of, and any premium or interest on, such debt security on or after the date or dates they are to be paid as expressed in such debt security and to institute suit for the enforcement of any such payment.</w:t>
      </w:r>
    </w:p>
    <w:p>
      <w:pPr>
        <w:pStyle w:val="TextBody"/>
        <w:bidi w:val="0"/>
        <w:spacing w:before="0" w:after="0"/>
        <w:ind w:left="216"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furnish to the trustee annually a statement as to the absence of certain defaults under the indenture. The indenture provides that the trustee need not provide holders of debt securities notice of any default (other than the nonpayment of principal or any premium or interest) if it considers it in the interest of the holders of debt securities not to provide such notice.</w:t>
      </w:r>
    </w:p>
    <w:p>
      <w:pPr>
        <w:pStyle w:val="TextBody"/>
        <w:bidi w:val="0"/>
        <w:spacing w:before="0" w:after="0"/>
        <w:ind w:left="216"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and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amend the indenture with the consent of the holders of a majority of the aggregate principal amount of the outstanding debt securities of each series affected by the amendment. However, no such amendment may, without the consent of the holders of all then outstanding debt securities of the affected series:</w:t>
      </w:r>
    </w:p>
    <w:p>
      <w:pPr>
        <w:pStyle w:val="TextBody"/>
        <w:bidi w:val="0"/>
        <w:spacing w:before="0" w:after="0"/>
        <w:ind w:left="0" w:right="0" w:firstLine="72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75"/>
        <w:gridCol w:w="170"/>
        <w:gridCol w:w="97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the due date of the principal of, or any installment of principal of or interest on, the debt securities of that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 the principal amount of, interest rate on, premium payable upon redemption of, or amount of principal due and payable upon any declaration of acceleration of the debt securities of that series;</w:t>
            </w:r>
          </w:p>
        </w:tc>
      </w:tr>
    </w:tbl>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70"/>
        <w:gridCol w:w="8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the currency of payment of principal of, or any premium or interest on, the debt securities of that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impair the right to institute suit for the enforcement of any payment on or with respect to the debt securities of that series after the due date or redemption date of such debt securities, or alter the method of computation of interest;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 the percentage in aggregate principal amount of the debt securities of that series then outstanding, the consent of whose holders is required for amendment of the indenture, for waiver of compliance with certain provisions of the indenture or for waiver of certain defaults and the related consequences;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debt securities of any series are convertible, make any change that adversely affects in any material respect the right to convert such debt securities or decrease the conversion rate or increase the conversion price of such debt securities, unless such decrease or increase is permitted by the terms of such debt securities; or</w:t>
            </w:r>
          </w:p>
        </w:tc>
      </w:tr>
    </w:tbl>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75"/>
        <w:gridCol w:w="170"/>
        <w:gridCol w:w="42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modify the ranking or priority of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of the aggregate principal amount of the outstanding debt securities of any series may waive, insofar as that series is concerned, future compliance by us with certain restrictive covenants of the indenture. The holders of at least a majority in aggregate principal amount of the outstanding debt securities of any series may waive any past default or Event of Default under the indenture with respect to that series, except a failure by us to pay the principal of, or any premium or interest on, any debt securities of that series or a provision that cannot be modified or amended without the consent of the holders of all outstanding debt securities of the affected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Satisfaction and Discharge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cease to be of further effect with respect to the debt securities of any series when: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either (a) all outstanding debt securities of such series (except (i) mutilated, destroyed, lost or stolen debt securities that have been replaced or paid and debt securities for whose payment money has been deposited in trust and thereafter repaid to us and (ii) debt securities for whose payment money has theretofore been deposited in trust or segregated and held in trust by us and thereafter repaid to us or discharged from such trust) have been delivered to the trustee cancelled or for cancellation or (b) all such debt securities not so delivered to the trustee cancelled or for cancellation have become due and payable, will become due and payable at their stated maturity within one year, or are to be called for redemption within one year, and we have irrevocably deposited with the trustee in trust an amount of cash or U.S. government obligations or a combination thereof in an amount sufficient to pay the entire indebtedness of such debt securities, including interest to the stated maturity or applicable redemption date; and</w:t>
            </w:r>
          </w:p>
        </w:tc>
      </w:tr>
    </w:tbl>
    <w:p>
      <w:pPr>
        <w:pStyle w:val="TextBody"/>
        <w:bidi w:val="0"/>
        <w:spacing w:before="0" w:after="0"/>
        <w:ind w:left="165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paid all other sums due under the indenture with respect to such series of debt securities and delivered an officer’s certificate and opinion of counsel to the trustee stating that all related conditions have been satisfied.</w:t>
            </w:r>
          </w:p>
        </w:tc>
      </w:tr>
    </w:tbl>
    <w:p>
      <w:pPr>
        <w:pStyle w:val="TextBody"/>
        <w:bidi w:val="0"/>
        <w:spacing w:before="0" w:after="0"/>
        <w:ind w:left="1656"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certain provisions of the indenture will survive, including with respect to certain rights, obligations and immunities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or any series of debt securities may be defeased at any time in accordance with the terms set forth in the indenture. Any defeasance may terminate all of our obligations (with limited exceptions) with respect to such debt securities and the indenture (“legal defeasance”), or it may terminate only our obligations under any restrictive covenant that may be applicable to such debt securities (“covenant defeasance”).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exercise our legal defeasance option even though we have also exercised our covenant defeasance option. If we exercise our legal defeasance option, the debt securities may not be accelerated because of an Event of Default. If we exercise the covenant defeasance option, the debt securities may not be accelerated by reference to any restrictive covenants which apply to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either defeasance option, we must: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irrevocably deposit in trust with the trustee or another trustee money or U.S. government obligations or a combination thereof in an amount sufficient to pay and discharge the principal of and any premium and interest or other amounts due on the debt securities on the stated maturities or redemption dates therefor;</w:t>
            </w:r>
          </w:p>
        </w:tc>
      </w:tr>
    </w:tbl>
    <w:p>
      <w:pPr>
        <w:pStyle w:val="TextBody"/>
        <w:bidi w:val="0"/>
        <w:spacing w:before="0" w:after="0"/>
        <w:ind w:left="165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deliver a certificate from a nationally recognized firm of independent public accountants or investment bankers expressing their opinion that the payments of principal and interest when due on the deposited U.S. government obligations, plus any deposited money, will provide cash at the times and in the amounts necessary to pay the principal of and premium and interest when due on all the debt securities to maturity or redemption, as the case may be; and</w:t>
            </w:r>
          </w:p>
        </w:tc>
      </w:tr>
    </w:tbl>
    <w:p>
      <w:pPr>
        <w:pStyle w:val="TextBody"/>
        <w:bidi w:val="0"/>
        <w:spacing w:before="0" w:after="0"/>
        <w:ind w:left="165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comply with certain other conditions, including that in the case of legal defeasance, we must obtain an opinion of tax counsel, based on a change in the applicable U.S. federal income tax law or a ruling by the Internal Revenue Service, that the defeasance will not result in recognition of any gain or loss to holders for federal income tax purposes as a result of the deposit.</w:t>
            </w:r>
          </w:p>
        </w:tc>
      </w:tr>
    </w:tbl>
    <w:p>
      <w:pPr>
        <w:pStyle w:val="TextBody"/>
        <w:bidi w:val="0"/>
        <w:spacing w:before="0" w:after="0"/>
        <w:ind w:left="1656"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exercise our option to effect a covenant defeasance as described above and the debt securities are thereafter declared due and payable because of an Event of Default (other than an Event of Default caused by failing to comply with the covenants that are defeased), the amount of money and securities we have deposited with the trustee would be sufficient to pay amounts due on the debt securities on their respective due dates but may not be sufficient to pay amounts due on the debt securities at the time of acceleration resulting from such Event of Default. However, we would remain liable for such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indicated differently in a prospectus supplement, our subordinated debt securities will be subordinated in right of payment to the prior payment in full of all our senior debt. This means that upon: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distribution of our assets upon our dissolution, winding-up, liquidation or reorganization in bankruptcy, insolvency, receivership or other proceedings, or</w:t>
            </w:r>
          </w:p>
        </w:tc>
      </w:tr>
    </w:tbl>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75"/>
        <w:gridCol w:w="170"/>
        <w:gridCol w:w="5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acceleration of the maturity of the subordinated debt securities,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failure to pay any senior debt or interest thereon when due and the continuance of that default beyond any applicable grace period,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acceleration of the maturity of any senior debt as a result of a default, the holders of all of our senior debt will be entitled to receive:</w:t>
            </w:r>
          </w:p>
        </w:tc>
      </w:tr>
    </w:tbl>
    <w:p>
      <w:pPr>
        <w:pStyle w:val="TextBody"/>
        <w:bidi w:val="0"/>
        <w:spacing w:before="0" w:after="0"/>
        <w:ind w:left="0" w:right="0" w:hanging="0"/>
        <w:jc w:val="left"/>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25"/>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9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case of the first two bullet points above, payment of all amounts due or to become due on all senior debt, and</w:t>
            </w:r>
          </w:p>
        </w:tc>
      </w:tr>
    </w:tbl>
    <w:p>
      <w:pPr>
        <w:pStyle w:val="TextBody"/>
        <w:bidi w:val="0"/>
        <w:spacing w:before="0" w:after="0"/>
        <w:ind w:left="1800" w:right="0" w:hanging="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125"/>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7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case of the second two bullet points above, payment of all amounts due on all senior 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holders of any of the subordinated debt securities are entitled to receive any payment. So long as any of the events in the bullet points above has occurred and is continuing, any amounts payable on the subordinated debt securities will instead be paid directly to the holders of all senior debt to the extent necessary to pay the senior debt in full and, if any payment is received by the subordinated indenture trustee under the subordinated indenture or the holders of any of the subordinated debt securities before all senior debt is paid in full, the payment or distribution must be paid over to the holders of the unpaid senior debt. Subject to paying the senior debt in full, the holders of the subordinated debt securities will be subrogated to the rights of the holders of the senior debt to the extent that payments are made to the holders of senior debt out of the distributive share of the 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“senior debt” means with respect to the subordinated debt securities, the principal of, premium, if any, and interest, if any, on and any other payment in respect of indebtedness due pursuant to any of the following, whether outstanding on the date the subordinated debt securities are issued or thereafter incurred, created or assumed: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indebtedness evidenced by notes, debentures, bonds or other securities sold by us for money or other obligations for money borrowed;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indebtedness of others of the kinds described in the preceding bullet point assumed by or guaranteed in any manner by us or in effect guaranteed by us through an agreement to purchase, contingent or otherwise, as applicable; and</w:t>
            </w:r>
          </w:p>
        </w:tc>
      </w:tr>
    </w:tbl>
    <w:p>
      <w:pPr>
        <w:pStyle w:val="TextBody"/>
        <w:bidi w:val="0"/>
        <w:spacing w:before="0" w:after="0"/>
        <w:ind w:left="0" w:right="0" w:hanging="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75"/>
        <w:gridCol w:w="170"/>
        <w:gridCol w:w="98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renewals, extensions or refundings of indebtedness of the kinds described in either of the first two bullet points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in the case of any particular indebtedness, renewal, extension or refunding, the instrument creating or evidencing the same or the assumption or guarantee of the same by its terms provides that such indebtedness, renewal, extension or refunding is not superior in right of payment to or is pari passu with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subordination, if our assets are distributed upon insolvency, certain of our general creditors may recover more, ratably, than holders of subordinated debt securities. The subordination provisions will not apply to money and securities held in trust under the satisfaction and discharge and the defeasance provisions of the applicable subordinated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debt securities and the subordinated indenture do not limit our ability to incur additional indebtedness, including indebtedness that will rank senior to the subordinated debt securities. We may incur substantial additional amounts of indebtedness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described in any prospectus supplement, the indenture and the debt securities will be governed by, and construed in accordance with, the internal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09"/>
      <w:bookmarkEnd w:id="27"/>
      <w:r>
        <w:rPr>
          <w:rFonts w:ascii="Times New Roman;Times;Serif" w:hAnsi="Times New Roman;Times;Serif"/>
          <w:b/>
          <w:i w:val="false"/>
          <w:caps w:val="false"/>
          <w:smallCaps w:val="false"/>
          <w:sz w:val="20"/>
        </w:rPr>
        <w:t>DESCRIPTION OF DEPOSITARY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general terms of the depositary shares we may offer and sell by this prospectus. This prospectus and any accompanying prospectus supplement will contain the material terms and conditions for the depositary shares. The accompanying prospectus supplement may add, update, or change the terms and conditions of the depositary shares as described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at our option, elect to offer depositary shares, each representing a fraction (to be set forth in the prospectus supplement relating to a particular series of preferred stock) of a share of a particular class or series of preferred stock as described below. In the event we elect to do so, depositary receipts evidencing depositary shares will be issued to the public.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any class or series of preferred stock represented by depositary shares will be deposited under a deposit agreement among us, a depositary selected by us, and the holders of the depositary receipts. The depositary will be a bank or trust company having its principal office in the United States and having a combined capital and surplus of at least $50,000,000. Subject to the terms of the deposit agreement, each owner of a depositary share will be entitled, in proportion to the applicable fraction of a share of preferred stock represented by such depositary share, to all of the rights and preferences of the shares of preferred stock represented by the depositary share, including dividend, voting, redemption and liquidation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shares will be evidenced by depositary receipts issued pursuant to the deposit agreement. Depositary receipts will be distributed to those persons purchasing the fractional shares of the related class or series of preferred shares in accordance with the terms of the offering described in the related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without unreasonable delay, and temporary depositary receipts will be exchangeable for definitive depositary receipts without charge to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distribute all cash dividends or other cash distributions received for the preferred stock to the entitled record holders of depositary shares in proportion to the number of depositary shares that the holder owns on the relevant record date; provided, however, that if we or the depositary is required by law to withhold an amount on account of taxes, then the amount distributed to the holders of depositary shares shall be reduced accordingly. The depositary will distribute only an amount that can be distributed without attributing to any holder of depositary shares a fraction of one cent. The depositary will add the undistributed balance to and treat it as part of the next sum received by the depositary for distribution to holders of the depositary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non-cash distribution, the depositary will distribute property received by it to the entitled record holders of depositary shares, in proportion, insofar as possible, to the number of depositary shares owned by the holders, unless the depositary determines, after consultation with us, that it is not feasible to make such distribution. If this occurs, the depositary may, with our approval, sell such property and distribute the net proceeds from such sale to the holders. The deposit agreement also will contain provisions relating to how any subscription or similar rights that we may offer to holders of the preferred stock will be available to the holders of the depositary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of the depositary receipts at the corporate trust office of the depositary, unless the related depositary shares have previously been called for redemption, converted or exchanged into our other securities, the holder of the depositary shares evidenced thereby is entitled to delivery of the number of whole shares of the related class or series of preferred stock and any money or other property represented by such depositary shares. Holders of depositary receipts will be entitled to receive whole shares of the related class or series of preferred stock on the basis set forth in the prospectus supplement for such class or series of preferred stock, but holders of such whole shares of preferred stock will not thereafter be entitled to exchange them for depositary shares. If the depositary receipts delivered by the holder evidence a number of depositary shares in excess of the number of depositary shares representing the number of whole shares of preferred stock to be withdrawn, the depositary will deliver to such holder at the same time a new depositary receipt evidencing such excess number of depositary shares. In no event will fractional shares of preferred stock be delivered upon surrender of depositary receipts to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Exchange and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class or series of preferred stock underlying the depositary shares may be converted or exchanged, each record holder of depositary receipts representing the shares of preferred stock being converted or exchanged will have the right or obligation to convert or exchange the depositary shares represented by the depositary receipts.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we redeem or convert shares of preferred stock held by the depositary, the depositary will redeem or convert, at the same time, the number of depositary shares representing the preferred stock to be redeemed or converted. The depositary will redeem the depositary shares from the proceeds it receives from the corresponding redemption of the applicable series of preferred stock. The depositary will mail notice of redemption or conversion to the record holders of the depositary shares that are to be redeemed between 30 and 60 days before the date fixed for redemption or conversion. The redemption price per depositary share will be equal to the applicable fraction of the redemption price per share on the applicable class or series of preferred stock. If less than all the depositary shares are to be redeemed, the depositary will select which shares are to be redeemed by lot on a pro rata basis or by any other equitable method as the depositary may decide.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redemption or conversion date, the depositary shares called for redemption or conversion will no longer be outstanding. When the depositary shares are no longer outstanding, all rights of the holders will end, except the right to receive money, securities or other property payable upon redemption or conversion of the depositary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the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depositary receives notice of a meeting at which the holders of the particular class or series of preferred stock are entitled to vote, the depositary will mail the particulars of the meeting to the record holders of the depositary shares. Each record holder of depositary shares on the record date may instruct the depositary on how to vote the shares of preferred stock underlying the holder’s depositary shares. The depositary will try, if practical, to vote the number of shares of preferred stock underlying the depositary shares according to the instructions. We will agree to take all reasonable action requested by the depositary to enable it to vote as instructed.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Termination of the Deposit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depositary may agree at any time to amend the deposit agreement and the depositary receipt evidencing the depositary shares. Any amendment that (a) imposes or increases certain fees, taxes or other charges payable by the holders of the depositary shares as described in the deposit agreement or (b) otherwise materially adversely affects any substantial existing rights of holders of depositary shares, will not take effect until such amendment is approved by the holders of at least a majority of the depositary shares then outstanding. Any holder of depositary shares that continues to hold its shares after such amendment has become effective will be deemed to have agreed to the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direct the depositary to terminate the deposit agreement by mailing a notice of termination to holders of depositary shares at least 30 days before termination. The depositary may terminate the deposit agreement if 90 days have elapsed after the depositary delivered written notice of its election to resign and a successor depositary is not appointed. In addition, the deposit agreement will automatically terminate if:</w:t>
      </w:r>
    </w:p>
    <w:p>
      <w:pPr>
        <w:pStyle w:val="TextBody"/>
        <w:bidi w:val="0"/>
        <w:spacing w:before="0" w:after="0"/>
        <w:ind w:left="0" w:right="0" w:firstLine="720"/>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75"/>
        <w:gridCol w:w="170"/>
        <w:gridCol w:w="5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depositary has redeemed all related outstanding depositary shares;</w:t>
            </w:r>
          </w:p>
        </w:tc>
      </w:tr>
    </w:tbl>
    <w:p>
      <w:pPr>
        <w:pStyle w:val="TextBody"/>
        <w:bidi w:val="0"/>
        <w:spacing w:before="0" w:after="0"/>
        <w:ind w:left="0" w:right="0" w:hanging="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75"/>
        <w:gridCol w:w="170"/>
        <w:gridCol w:w="82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outstanding shares of preferred stock have been converted into or exchanged for common stock;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liquidated, terminated or wound up our business and the depositary has distributed the preferred stock of the relevant series to the holders of the related depositary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Reports and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forward to the holders of depositary shares all reports and communications from us that are delivered to the depositary and that we are required by law, the rules of an applicable securities exchange or our Articles of Incorporation to furnish to the holders of the preferred stock. Neither we nor the depositary will be liable if the depositary is prevented or delayed by law or any circumstances beyond its control in performing its obligations under the deposit agreement. The deposit agreement limits our obligations to performance in good faith of the duties stated in the deposit agreement. The depositary assumes no obligation and will not be subject to liability under the deposit agreement except to perform such obligations as are set forth in the deposit agreement without negligence or bad faith. Neither we nor the depositary will be obligated to prosecute or defend any legal proceeding connected with any depositary shares or class or series of preferred stock unless the holders of depositary shares requesting us to do so furnish us with a satisfactory indemnity. In performing our obligations, we and the depositary may rely and act upon the advice of our counsel or accountants, on any information provided to us by a person presenting shares for deposit, any holder of a receipt, or any other document believed by us or the depositary to be genuine and to have been signed or presented by the proper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Fees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fees, charges and expenses of the depositary, including the initial deposit of the preferred stock and any redemption of the preferred stock. Holders of depositary shares will pay taxes and governmental charges and any other charges as are stated in the deposit agreement for their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and Removal of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depositary may resign by delivering notice to us, and we may remove the depositary at any time. Resignations or removals will take effect upon the appointment of a successor depositary and its acceptance of the appointment. The successor depositary must be appointed within 90 days after the delivery of the notice of resignation or removal and must be a bank or trust company having its principal office in the United States and having a combined capital and surplus of at least $50,000,000.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0"/>
      <w:bookmarkEnd w:id="28"/>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general terms of the warrants that we may offer and sell by this prospectus. This prospectus and any accompanying prospectus supplement will contain the material terms and conditions for each warrant. The accompanying prospectus supplement may add, update or change the terms and conditions of the warrants as described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debt securities or equity securities, including Common Stock, Class A Common Stock or preferred stock. Warrants may be issued independently or together with any securities and may be attached to or separate from those securities. The warrants will be issued under warrant agreements to be entered into between us and a bank or trust company, as warrant agent, all of which will be described in the prospectus supplement relating to the warrants we are offering. The warrant agent will act solely as our agent in connection with the warrants and will not have any obligation or relationship of agency or trust for or with any holders or beneficial owners of warrants. A copy of the warrant agreement will be filed with the SEC in connection with the offering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our debt securities. As explained below, each debt warrant will entitle its holder to purchase debt securities at an exercise price set forth in, or to be determinable as set forth in, the related prospectus supplement. Debt warrants may be issued separately or together with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warrants are to be issued under debt warrant agreements to be entered into between us, and one or more banks or trust companies, as debt warrant agent, as will be set forth in the prospectus supplement relating to the debt warrants being offered by the prospectus supplement and this prospectus. A copy of the debt warrant agreement, including a form of the debt warrant certificate representing the debt warrants, will be filed with the SEC in connection with the offering of the debt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of debt warrants, the debt warrant agreement relating to the debt warrants and the debt warrant certificates representing debt warrants will be described in the applicable prospectus supplement, including, as applicable:</w:t>
      </w:r>
    </w:p>
    <w:p>
      <w:pPr>
        <w:pStyle w:val="TextBody"/>
        <w:bidi w:val="0"/>
        <w:spacing w:before="0" w:after="0"/>
        <w:ind w:left="0" w:right="0" w:firstLine="72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170"/>
        <w:gridCol w:w="23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debt warrants;</w:t>
            </w:r>
          </w:p>
        </w:tc>
      </w:tr>
    </w:tbl>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initial offering price;</w:t>
            </w:r>
          </w:p>
        </w:tc>
      </w:tr>
    </w:tbl>
    <w:p>
      <w:pPr>
        <w:pStyle w:val="TextBody"/>
        <w:bidi w:val="0"/>
        <w:spacing w:before="0" w:after="0"/>
        <w:ind w:left="0" w:right="0" w:hanging="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75"/>
        <w:gridCol w:w="170"/>
        <w:gridCol w:w="94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aggregate principal amount and terms of the debt securities purchasable upon exercise of the debt warrants;</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currency units in which the offering price, if any, and the exercise price are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and terms of any related debt securities with which the debt warrants are issued and the number of the debt warrants issued with each debt security;</w:t>
            </w:r>
          </w:p>
        </w:tc>
      </w:tr>
    </w:tbl>
    <w:p>
      <w:pPr>
        <w:pStyle w:val="TextBody"/>
        <w:bidi w:val="0"/>
        <w:spacing w:before="0" w:after="0"/>
        <w:ind w:left="0" w:right="0" w:hanging="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if any, on and after which the debt warrants and the related debt securities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principal amount of debt securities purchasable upon exercise of each debt warrant and the price at which that principal amount of debt securities may be purchased upon exercise of each debt warrant;</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minimum or maximum number of warrants that may be exercised at any one time;</w:t>
            </w:r>
          </w:p>
        </w:tc>
      </w:tr>
    </w:tbl>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debt warrants will commence and the date on which the right will expire;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United States federal income tax, accounting or other considerations applicable to the debt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debt warrants represented by the debt warrant certificates will be issued in registered or bearer form, and, if registered, where they may be transferred and registered;</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170"/>
        <w:gridCol w:w="4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anti-dilution provisions of the debt warrants, if any;</w:t>
            </w:r>
          </w:p>
        </w:tc>
      </w:tr>
    </w:tbl>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redemption or call provisions, if any, applicable to the debt warrants;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additional terms of the debt warrants, including terms, procedures and limitations relating to the exchange and exercise of the debt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warrant certificates will be exchangeable for new debt warrant certificates of different denominations and, if in registered form, may be presented for registration of transfer, and debt warrants may be exercised at the corporate trust office of the debt warrant agent or any other office indicated in the related prospectus supplement. Before the exercise of debt warrants, holders of debt warrants will not be entitled to payments of principal, of premium, if any, or interest, if any, on the debt securities purchasable upon exercise of the debt warrants, or to enforce any of the covenants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our equity securities, such as our Common Stock, Class A Common Stock or preferred stock. As explained below, each equity warrant will entitle its holder to purchase equity securities at an exercise price set forth in, or to be determinable as set forth in, the related prospectus supplement. Equity warrants may be issued separately or together with equity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warrants are to be issued under equity warrant agreements to be entered into between us and one or more banks or trust companies, as equity warrant agent, as will be set forth in the prospectus supplement relating to the equity warrants being offered by the prospectus supplement and this prospectus. A copy of the equity warrant agreement, including a form of the equity warrant certificate representing the equity warrants, will be filed with the SEC in connection with the offering of the equity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of equity warrants, the equity warrant agreement relating to the equity warrants and the equity warrant certificates representing equity warrants will be described in the applicable prospectus supplement, including, as applicable:</w:t>
      </w:r>
    </w:p>
    <w:p>
      <w:pPr>
        <w:pStyle w:val="TextBody"/>
        <w:bidi w:val="0"/>
        <w:spacing w:before="0" w:after="0"/>
        <w:ind w:left="0" w:right="0" w:firstLine="720"/>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75"/>
        <w:gridCol w:w="170"/>
        <w:gridCol w:w="25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equity warrants;</w:t>
            </w:r>
          </w:p>
        </w:tc>
      </w:tr>
    </w:tbl>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initial offering price;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equity warrants and the aggregate number of shares of the equity security purchasable upon exercise of the equity warrants;</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currency units in which the offering price, if any, and the exercise price are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designation and terms of the equity securities with which the equity warrants are issued, and the number of equity warrants issued with each equity security;</w:t>
            </w:r>
          </w:p>
        </w:tc>
      </w:tr>
    </w:tbl>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if any, on and after which the equity warrants and the related equity security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minimum or maximum number of the equity warrants that may be exercised at any one time;</w:t>
            </w:r>
          </w:p>
        </w:tc>
      </w:tr>
    </w:tbl>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170"/>
        <w:gridCol w:w="9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equity warrants will commence and the date on which the right will expire;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United States federal income tax, accounting or other considerations applicable to the equity warrants;</w:t>
            </w:r>
          </w:p>
        </w:tc>
      </w:tr>
    </w:tbl>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75"/>
        <w:gridCol w:w="170"/>
        <w:gridCol w:w="43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anti-dilution provisions of the equity warrants, if any;</w:t>
            </w:r>
          </w:p>
        </w:tc>
      </w:tr>
    </w:tbl>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170"/>
        <w:gridCol w:w="6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redemption or call provisions, if any, applicable to the equity warrants;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additional terms of the equity warrants, including terms, procedures and limitations relating to the exchange and exercise of the equity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equity warrants will not be entitled, solely by virtue of being holders, to vote, to consent, to receive dividends, to receive notice as shareholders with respect to any meeting of shareholders for the election of directors or any other matter, or to exercise any rights whatsoever as a holder of the equity securities purchasable upon exercise of equity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11"/>
      <w:bookmarkEnd w:id="29"/>
      <w:r>
        <w:rPr>
          <w:rFonts w:ascii="Times New Roman;Times;Serif" w:hAnsi="Times New Roman;Times;Serif"/>
          <w:b/>
          <w:i w:val="false"/>
          <w:caps w:val="false"/>
          <w:smallCaps w:val="false"/>
          <w:sz w:val="20"/>
        </w:rPr>
        <w:t>DESCRIPTION OF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debt securities, common stock, shares of preferred stock,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may describe: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of the governing unit agreement that differ from those described below;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the issuance, payment, settlement, transfer or exchange of the units or of the securities comprising the units. We may issue units in such amounts and in as many distinct series as we wish. This section summarizes terms of the units that apply generally to all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provisions will generally apply to all unit agreements unless otherwise stated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Enforcement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 agent under a unit agreement will act solely as our agent in connection with the units issued under that agreement. The unit agent will not assume any obligation or relationship of agency or trust for or with any holders of those units or of the securities comprising those units. The unit agent will not be obligated to take any action on behalf of those holders to enforce or protect their rights under the units or the included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indicated in the next paragraph, a holder of a unit may, without the consent of the unit agent or any other holder, enforce its rights as holder under any security included in the unit, in accordance with the terms of that security and the indenture, warrant agreement or other instrument under which that security is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unit agreement may limit or otherwise affect the ability of a holder of units issued under that agreement to enforce its rights, including any right to bring a legal action, with respect to those units or any securities, other than debt securities that are included in those units. Limitations of this kind will be described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Without Consent of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otherwise in an applicable prospectus supplement, we and the applicable unit agent may amend any unit or unit agreement without the consent of any holder:</w:t>
      </w:r>
    </w:p>
    <w:p>
      <w:pPr>
        <w:pStyle w:val="TextBody"/>
        <w:bidi w:val="0"/>
        <w:spacing w:before="0" w:after="0"/>
        <w:ind w:left="0" w:right="0" w:firstLine="72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75"/>
        <w:gridCol w:w="170"/>
        <w:gridCol w:w="1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cure any ambiguity;</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170"/>
        <w:gridCol w:w="5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correct or supplement any defective or inconsistent provision;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make any other change that we believe is necessary or desirable and will not adversely affect the interests of the affected holders in any material respect.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With Consent of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otherwise in an applicable prospectus supplement, we may not amend any particular unit or a unit agreement with respect to any particular unit unless we obtain the consent of the holder of that unit, if the amendment would: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impair any right of the holder to exercise or enforce any right under a security included in the unit if the terms of that security require the consent of the holder to any changes that would impair the exercise or enforcement of that right,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 the percentage of outstanding units or any series or class the consent of whose holders is required to amend that series or class, or the applicable unit agreement with respect to that series or class, as described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otherwise in an applicable prospectus supplement, any other change to a particular unit agreement and the units issued under that agreement would require the following approval:</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change affects only the units of a particular series issued under that agreement, the change must be approved by the holders of a majority of the outstanding units of that series,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regarding changes with majority approval also apply to changes affecting any securities issued under a unit agreement, as the governing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the required approval must be given by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Agreements Will Not Be Qualified Under The Trust Indenture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unit agents and any of our respective agents may treat the registered holder of any unit certificate as an absolute owner of the units evidenced by that certificate for any purpose and as the person entitled to exercise the rights attaching to the units so requested, despite any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012"/>
      <w:bookmarkEnd w:id="30"/>
      <w:r>
        <w:rPr>
          <w:rFonts w:ascii="Times New Roman;Times;Serif" w:hAnsi="Times New Roman;Times;Serif"/>
          <w:b/>
          <w:i w:val="false"/>
          <w:caps w:val="false"/>
          <w:smallCaps w:val="false"/>
          <w:sz w:val="20"/>
        </w:rPr>
        <w:t>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shareholders may sell the securities described in this prospectus from time to time in one or more transactions:</w:t>
      </w:r>
    </w:p>
    <w:p>
      <w:pPr>
        <w:pStyle w:val="TextBody"/>
        <w:bidi w:val="0"/>
        <w:spacing w:before="0" w:after="0"/>
        <w:ind w:left="0" w:right="0" w:firstLine="72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75"/>
        <w:gridCol w:w="170"/>
        <w:gridCol w:w="1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purchasers directly;</w:t>
            </w:r>
          </w:p>
        </w:tc>
      </w:tr>
    </w:tbl>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170"/>
        <w:gridCol w:w="4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underwriters for public offering and sale by them;</w:t>
            </w:r>
          </w:p>
        </w:tc>
      </w:tr>
    </w:tbl>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75"/>
        <w:gridCol w:w="170"/>
        <w:gridCol w:w="1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agents;</w:t>
            </w:r>
          </w:p>
        </w:tc>
      </w:tr>
    </w:tbl>
    <w:p>
      <w:pPr>
        <w:pStyle w:val="TextBody"/>
        <w:bidi w:val="0"/>
        <w:spacing w:before="0" w:after="0"/>
        <w:ind w:left="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75"/>
        <w:gridCol w:w="170"/>
        <w:gridCol w:w="1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dealers; or</w:t>
            </w:r>
          </w:p>
        </w:tc>
      </w:tr>
    </w:tbl>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 combination of any of the foregoing methods of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shareholders may distribute the securities from time to time in one or more transactions at:</w:t>
      </w:r>
    </w:p>
    <w:p>
      <w:pPr>
        <w:pStyle w:val="TextBody"/>
        <w:bidi w:val="0"/>
        <w:spacing w:before="0" w:after="0"/>
        <w:ind w:left="0" w:right="0" w:firstLine="720"/>
        <w:jc w:val="both"/>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170"/>
        <w:gridCol w:w="3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fixed price or prices, which may be changed;</w:t>
            </w:r>
          </w:p>
        </w:tc>
      </w:tr>
    </w:tbl>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75"/>
        <w:gridCol w:w="170"/>
        <w:gridCol w:w="3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prices prevailing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170"/>
        <w:gridCol w:w="40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prices related to such prevailing market prices; or</w:t>
            </w:r>
          </w:p>
        </w:tc>
      </w:tr>
    </w:tbl>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75"/>
        <w:gridCol w:w="170"/>
        <w:gridCol w:w="1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negotiated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shareholders may sell the securities directly to institutional investors or others. A prospectus supplement will describe the terms of any sale of securities we or the selling shareholders are offering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Underwriters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name any underwriter involved in a sale of securities. Underwriters may offer and sell securities at a fixed price or prices, which may be changed, or from time to time at market prices or at negotiated prices. Underwriters may be deemed to have received compensation from us from sales of securities in the form of underwriting discounts or commissions and may also receive commissions from purchasers of securities for whom they may act as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may sell securities to or through dealers, and such dealers may receive compensation in the form of discounts, concessions or commissions from the underwriters and/or commissions (which may be changed from time to time) from the purchasers for whom they may act as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a prospectus supplement, the obligations of any underwriters to purchase securities or any series of securities will be subject to certain conditions precedent, and the underwriters will be obligated to purchase all such securities if any are purchased.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Through Agents and 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shareholders will name any agent involved in a sale of securities, as well as any commissions payable by us to such agent, in a prospectus supplement. Unless we indicate differently in the prospectus supplement, any such agent will be acting on a reasonable efforts basis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utilized in the sale of the securities being offered pursuant to this prospectus, the securities will be sold to the dealer, as principal. The dealer may then resell the securities to the public at varying prices to be determined by the dealer at the time of resale.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so specify in the applicable prospectus supplement, underwriters, dealers and agents will be authorized to solicit offers by certain institutions to purchase securities pursuant to contracts providing for payment and delivery on future dates. Such contracts will be subject to only those conditions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will not be responsible for the validity or performance of the contracts. We will set forth in the prospectus supplement relating to the contracts the price to be paid for the securities, the commissions payable for solicitation of the contracts and the date in the future for delivery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13"/>
      <w:bookmarkEnd w:id="31"/>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participating in a sale of the securities may be deemed to be underwriters as defined in the Securities Act, and any discounts and commissions received by them and any profit realized by them on resale of the securities may be deemed to be underwriting discounts and commissions, under the Securities Act. We and the selling shareholders may have agreements with underwriters, dealers and agents to indemnify them against certain civil liabilities, including liabilities under the Securities Act, and to reimburse them for certain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or agents and their associates may be customers of, engage in transactions with or perform services for us or our affiliates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differently in a prospectus supplement, we will not list the securities on any securities exchange, other than shares of our Common Stock and Class A Common Stock. The securities, except for our Common Stock and Class A Common Stock, will be a new issue of securities with no established trading market. Any underwriters that purchase securities for public offering and sale may make a market in such securities, but such underwriters will not be obligated to do so and may discontinue any market making at any time without notice. We make no assurance as to the liquidity of or the trading markets for 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of the registration statement in which this prospectus is included does not preclude us from issuing securities in a transaction that is exempt from the registration provisions of the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014"/>
      <w:bookmarkEnd w:id="32"/>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relating to the offering will be passed upon for us and the selling shareholders by Akerman LLP, Miami, Florida.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_015"/>
      <w:bookmarkEnd w:id="33"/>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HEICO Corporation incorporated by reference in this prospectus, and the effectiveness of HEICO Corporation’s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_016"/>
      <w:bookmarkEnd w:id="34"/>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subject to the information requirements of the Exchange Act and in accordance therewith file periodic reports, proxy statements and other information with the SEC. Our SEC filings will also be available to you on the SEC’s website at http://www.sec.gov. We have filed with the SEC a Registration Statement on Form S-3 under the Securities Act to register with the SEC the securities described herein to be offered by us or the selling shareholders. This prospectus, which is a part of the registration statement, does not contain all of the information set forth in the registration statement. For further information with respect to us and our securities, we refer you to the registration statement and the exhibits that were filed with the registration statement. Anyone may obtain the registration statement and its exhibits and schedules from the SEC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is www.heico.com. We make available free of charge through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 information contained on, connected to or that can be accessed via our website is not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a_017"/>
      <w:bookmarkEnd w:id="35"/>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provide information about our business and other important information to you by “incorporating by reference” the information we file with the SEC, which means that we can disclose the information to you by referring in this prospectus to the documents we file with the SEC. Under the SEC’s regulations, any statement contained in a document incorporated by reference in this prospectus is automatically updated and superseded by any information contained in this prospectus, or in any subsequently filed document of the types described below. However, we are not incorporating by reference any information provided in these documents that is furnished under applicable SEC rules rather than filed and exhibits furnished in connection with such items, including any information furnished pursuant to Item 2.02 or Item 7.01 of our Current Reports on Form 8-K or Form 8-K/A after the date of this prospectus supplement unless, and except to the extent, specified in such Current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into this prospectus by reference the following documents filed by us with the SEC, each of which should be considered an important part of this prospectus: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Annual Report on </w:t>
            </w:r>
            <w:hyperlink r:id="rId11">
              <w:r>
                <w:rPr>
                  <w:rStyle w:val="InternetLink"/>
                  <w:rFonts w:ascii="Times New Roman;Times;Serif" w:hAnsi="Times New Roman;Times;Serif"/>
                  <w:sz w:val="20"/>
                </w:rPr>
                <w:t>Form 10-K</w:t>
              </w:r>
            </w:hyperlink>
            <w:r>
              <w:rPr>
                <w:rFonts w:ascii="Times New Roman;Times;Serif" w:hAnsi="Times New Roman;Times;Serif"/>
                <w:sz w:val="20"/>
              </w:rPr>
              <w:t xml:space="preserve"> for the fiscal year ended October 31, 2025, filed with the SEC on December 22, 2025, including portions of the Company’s proxy statement on </w:t>
            </w:r>
            <w:hyperlink r:id="rId12">
              <w:r>
                <w:rPr>
                  <w:rStyle w:val="InternetLink"/>
                  <w:rFonts w:ascii="Times New Roman;Times;Serif" w:hAnsi="Times New Roman;Times;Serif"/>
                  <w:sz w:val="20"/>
                </w:rPr>
                <w:t>Schedule 14A</w:t>
              </w:r>
            </w:hyperlink>
            <w:r>
              <w:rPr>
                <w:rFonts w:ascii="Times New Roman;Times;Serif" w:hAnsi="Times New Roman;Times;Serif"/>
                <w:sz w:val="20"/>
              </w:rPr>
              <w:t>, filed with the SEC on January 30, 2026, to the extent incorporated by reference into such Annual Report on Form 10-K;</w:t>
            </w:r>
          </w:p>
        </w:tc>
      </w:tr>
    </w:tbl>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pPr>
            <w:r>
              <w:rPr>
                <w:rFonts w:ascii="Times New Roman;Times;Serif" w:hAnsi="Times New Roman;Times;Serif"/>
                <w:sz w:val="20"/>
              </w:rPr>
              <w:t xml:space="preserve">Our Quarterly Report on </w:t>
            </w:r>
            <w:hyperlink r:id="rId13">
              <w:r>
                <w:rPr>
                  <w:rStyle w:val="InternetLink"/>
                  <w:rFonts w:ascii="Times New Roman;Times;Serif" w:hAnsi="Times New Roman;Times;Serif"/>
                  <w:sz w:val="20"/>
                </w:rPr>
                <w:t>Form 10-Q</w:t>
              </w:r>
            </w:hyperlink>
            <w:r>
              <w:rPr>
                <w:rFonts w:ascii="Times New Roman;Times;Serif" w:hAnsi="Times New Roman;Times;Serif"/>
                <w:sz w:val="20"/>
              </w:rPr>
              <w:t xml:space="preserve"> for the quarter ended January 31, 2026, filed with the SEC on February 27, 2026;</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pPr>
            <w:r>
              <w:rPr>
                <w:rFonts w:ascii="Times New Roman;Times;Serif" w:hAnsi="Times New Roman;Times;Serif"/>
                <w:sz w:val="20"/>
              </w:rPr>
              <w:t xml:space="preserve">Our Quarterly Report on </w:t>
            </w:r>
            <w:hyperlink r:id="rId14">
              <w:r>
                <w:rPr>
                  <w:rStyle w:val="InternetLink"/>
                  <w:rFonts w:ascii="Times New Roman;Times;Serif" w:hAnsi="Times New Roman;Times;Serif"/>
                  <w:sz w:val="20"/>
                </w:rPr>
                <w:t>Form 10-Q</w:t>
              </w:r>
            </w:hyperlink>
            <w:r>
              <w:rPr>
                <w:rFonts w:ascii="Times New Roman;Times;Serif" w:hAnsi="Times New Roman;Times;Serif"/>
                <w:sz w:val="20"/>
              </w:rPr>
              <w:t xml:space="preserve"> for the quarter ended April 30, 2026, filed with the SEC on May 29, 2026;</w:t>
            </w:r>
          </w:p>
        </w:tc>
      </w:tr>
    </w:tbl>
    <w:p>
      <w:pPr>
        <w:pStyle w:val="TextBody"/>
        <w:bidi w:val="0"/>
        <w:spacing w:before="0" w:after="0"/>
        <w:ind w:left="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pPr>
            <w:r>
              <w:rPr>
                <w:rFonts w:ascii="Times New Roman;Times;Serif" w:hAnsi="Times New Roman;Times;Serif"/>
                <w:sz w:val="20"/>
              </w:rPr>
              <w:t xml:space="preserve">The Current Reports on Form 8-K filed with the SEC on </w:t>
            </w:r>
            <w:hyperlink r:id="rId15">
              <w:r>
                <w:rPr>
                  <w:rStyle w:val="InternetLink"/>
                  <w:rFonts w:ascii="Times New Roman;Times;Serif" w:hAnsi="Times New Roman;Times;Serif"/>
                  <w:sz w:val="20"/>
                </w:rPr>
                <w:t>December 22, 2025</w:t>
              </w:r>
            </w:hyperlink>
            <w:r>
              <w:rPr>
                <w:rFonts w:ascii="Times New Roman;Times;Serif" w:hAnsi="Times New Roman;Times;Serif"/>
                <w:sz w:val="20"/>
              </w:rPr>
              <w:t xml:space="preserve">, </w:t>
            </w:r>
            <w:hyperlink r:id="rId16">
              <w:r>
                <w:rPr>
                  <w:rStyle w:val="InternetLink"/>
                  <w:rFonts w:ascii="Times New Roman;Times;Serif" w:hAnsi="Times New Roman;Times;Serif"/>
                  <w:sz w:val="20"/>
                </w:rPr>
                <w:t>March 17, 2026</w:t>
              </w:r>
            </w:hyperlink>
            <w:r>
              <w:rPr>
                <w:rFonts w:ascii="Times New Roman;Times;Serif" w:hAnsi="Times New Roman;Times;Serif"/>
                <w:sz w:val="20"/>
              </w:rPr>
              <w:t xml:space="preserve">, and </w:t>
            </w:r>
            <w:hyperlink r:id="rId17">
              <w:r>
                <w:rPr>
                  <w:rStyle w:val="InternetLink"/>
                  <w:rFonts w:ascii="Times New Roman;Times;Serif" w:hAnsi="Times New Roman;Times;Serif"/>
                  <w:sz w:val="20"/>
                </w:rPr>
                <w:t>June 17, 2026</w:t>
              </w:r>
            </w:hyperlink>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Common Stock contained in our Registration Statement on Form 8-A, filed with the SEC on April 28, 1993, as amended </w:t>
            </w:r>
            <w:hyperlink r:id="rId18">
              <w:r>
                <w:rPr>
                  <w:rStyle w:val="InternetLink"/>
                  <w:rFonts w:ascii="Times New Roman;Times;Serif" w:hAnsi="Times New Roman;Times;Serif"/>
                  <w:sz w:val="20"/>
                </w:rPr>
                <w:t>January 27, 1999</w:t>
              </w:r>
            </w:hyperlink>
            <w:r>
              <w:rPr>
                <w:rFonts w:ascii="Times New Roman;Times;Serif" w:hAnsi="Times New Roman;Times;Serif"/>
                <w:sz w:val="20"/>
              </w:rPr>
              <w:t xml:space="preserve">, and as further amended by the description of our Common Stock set forth in </w:t>
            </w:r>
            <w:hyperlink r:id="rId19">
              <w:r>
                <w:rPr>
                  <w:rStyle w:val="InternetLink"/>
                  <w:rFonts w:ascii="Times New Roman;Times;Serif" w:hAnsi="Times New Roman;Times;Serif"/>
                  <w:sz w:val="20"/>
                </w:rPr>
                <w:t>Exhibit 4.1</w:t>
              </w:r>
            </w:hyperlink>
            <w:r>
              <w:rPr>
                <w:rFonts w:ascii="Times New Roman;Times;Serif" w:hAnsi="Times New Roman;Times;Serif"/>
                <w:sz w:val="20"/>
              </w:rPr>
              <w:t xml:space="preserve"> to our Annual Report on </w:t>
            </w:r>
            <w:hyperlink r:id="rId20">
              <w:r>
                <w:rPr>
                  <w:rStyle w:val="InternetLink"/>
                  <w:rFonts w:ascii="Times New Roman;Times;Serif" w:hAnsi="Times New Roman;Times;Serif"/>
                  <w:sz w:val="20"/>
                </w:rPr>
                <w:t>Form 10-K</w:t>
              </w:r>
            </w:hyperlink>
            <w:r>
              <w:rPr>
                <w:rFonts w:ascii="Times New Roman;Times;Serif" w:hAnsi="Times New Roman;Times;Serif"/>
                <w:sz w:val="20"/>
              </w:rPr>
              <w:t xml:space="preserve"> for the year ended October 31, 2019, including any further amendments thereto or reports filed for the purposes of updating this description;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Class A Common Stock contained in our Registration Statement on Form 8-A, filed with the SEC on </w:t>
            </w:r>
            <w:hyperlink r:id="rId21">
              <w:r>
                <w:rPr>
                  <w:rStyle w:val="InternetLink"/>
                  <w:rFonts w:ascii="Times New Roman;Times;Serif" w:hAnsi="Times New Roman;Times;Serif"/>
                  <w:sz w:val="20"/>
                </w:rPr>
                <w:t>April 8, 1998</w:t>
              </w:r>
            </w:hyperlink>
            <w:r>
              <w:rPr>
                <w:rFonts w:ascii="Times New Roman;Times;Serif" w:hAnsi="Times New Roman;Times;Serif"/>
                <w:sz w:val="20"/>
              </w:rPr>
              <w:t xml:space="preserve">, as amended </w:t>
            </w:r>
            <w:hyperlink r:id="rId22">
              <w:r>
                <w:rPr>
                  <w:rStyle w:val="InternetLink"/>
                  <w:rFonts w:ascii="Times New Roman;Times;Serif" w:hAnsi="Times New Roman;Times;Serif"/>
                  <w:sz w:val="20"/>
                </w:rPr>
                <w:t>January 27, 1999</w:t>
              </w:r>
            </w:hyperlink>
            <w:r>
              <w:rPr>
                <w:rFonts w:ascii="Times New Roman;Times;Serif" w:hAnsi="Times New Roman;Times;Serif"/>
                <w:sz w:val="20"/>
              </w:rPr>
              <w:t xml:space="preserve">, and as further amended by the description of our Class A Common Stock set forth in </w:t>
            </w:r>
            <w:hyperlink r:id="rId23">
              <w:r>
                <w:rPr>
                  <w:rStyle w:val="InternetLink"/>
                  <w:rFonts w:ascii="Times New Roman;Times;Serif" w:hAnsi="Times New Roman;Times;Serif"/>
                  <w:sz w:val="20"/>
                </w:rPr>
                <w:t>Exhibit 4.1</w:t>
              </w:r>
            </w:hyperlink>
            <w:r>
              <w:rPr>
                <w:rFonts w:ascii="Times New Roman;Times;Serif" w:hAnsi="Times New Roman;Times;Serif"/>
                <w:sz w:val="20"/>
              </w:rPr>
              <w:t xml:space="preserve"> to our Annual Report on </w:t>
            </w:r>
            <w:hyperlink r:id="rId24">
              <w:r>
                <w:rPr>
                  <w:rStyle w:val="InternetLink"/>
                  <w:rFonts w:ascii="Times New Roman;Times;Serif" w:hAnsi="Times New Roman;Times;Serif"/>
                  <w:sz w:val="20"/>
                </w:rPr>
                <w:t>Form 10-K</w:t>
              </w:r>
            </w:hyperlink>
            <w:r>
              <w:rPr>
                <w:rFonts w:ascii="Times New Roman;Times;Serif" w:hAnsi="Times New Roman;Times;Serif"/>
                <w:sz w:val="20"/>
              </w:rPr>
              <w:t xml:space="preserve"> for the year ended October 31, 2019, including any further amendments thereto or reports filed for the purposes of updating this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subsequently filed by us pursuant to Sections 13(a), 13(c), 14 and 15(d) of the Exchange Act, prior to the filing of a post-effective amendment which indicates that all securities offered have been sold or which deregisters all securities then remaining unsold, shall be deemed to be incorporated by reference into this registration statement and to be a part hereof from the date of filing of such documents. Any statement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you, upon request, a copy of each of our filings at no cost. Please make your request by writing or telephoning us at the following address or telephone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w:t>
        <w:br/>
        <w:t>3000 Taft Street</w:t>
        <w:br/>
        <w:t>Hollywood, Florida 33021</w:t>
        <w:br/>
        <w:t>Tel: (954) 987-4000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or any supplement. We have not authorized anyone else to provide you with different information. You should not assume that the information in this prospectus or any supplement is accurate as of any date other than the date on the front of those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23975" cy="209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5"/>
                    <a:stretch>
                      <a:fillRect/>
                    </a:stretch>
                  </pic:blipFill>
                  <pic:spPr bwMode="auto">
                    <a:xfrm>
                      <a:off x="0" y="0"/>
                      <a:ext cx="1323975" cy="2095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HEICO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$550,000,000 4.950% Notes due 2031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$650,000,000 5.400% Notes due 2036</w:t>
      </w:r>
    </w:p>
    <w:p>
      <w:pPr>
        <w:pStyle w:val="TextBody"/>
        <w:bidi w:val="0"/>
        <w:spacing w:before="0" w:after="0"/>
        <w:ind w:left="0" w:right="0" w:hanging="0"/>
        <w:jc w:val="center"/>
        <w:rPr>
          <w:caps w:val="false"/>
          <w:smallCaps w:val="false"/>
        </w:rPr>
      </w:pPr>
      <w:r>
        <w:rPr>
          <w:caps w:val="false"/>
          <w:smallCaps w:val="false"/>
        </w:rPr>
        <w:t>  </w:t>
      </w:r>
    </w:p>
    <w:tbl>
      <w:tblPr>
        <w:tblW w:w="3815" w:type="dxa"/>
        <w:jc w:val="left"/>
        <w:tblInd w:w="0" w:type="dxa"/>
        <w:tblLayout w:type="fixed"/>
        <w:tblCellMar>
          <w:top w:w="0" w:type="dxa"/>
          <w:left w:w="0" w:type="dxa"/>
          <w:bottom w:w="0" w:type="dxa"/>
          <w:right w:w="0" w:type="dxa"/>
        </w:tblCellMar>
      </w:tblPr>
      <w:tblGrid>
        <w:gridCol w:w="75"/>
        <w:gridCol w:w="3665"/>
        <w:gridCol w:w="75"/>
      </w:tblGrid>
      <w:tr>
        <w:trPr/>
        <w:tc>
          <w:tcPr>
            <w:tcW w:w="75" w:type="dxa"/>
            <w:tcBorders/>
            <w:vAlign w:val="center"/>
          </w:tcPr>
          <w:p>
            <w:pPr>
              <w:pStyle w:val="TableContents"/>
              <w:bidi w:val="0"/>
              <w:spacing w:before="0" w:after="283"/>
              <w:jc w:val="center"/>
              <w:rPr/>
            </w:pPr>
            <w:r>
              <w:rPr/>
              <w:t> </w:t>
            </w:r>
          </w:p>
        </w:tc>
        <w:tc>
          <w:tcPr>
            <w:tcW w:w="3665" w:type="dxa"/>
            <w:tcBorders>
              <w:top w:val="single" w:sz="1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dated July 13, 2026</w:t>
            </w:r>
          </w:p>
          <w:p>
            <w:pPr>
              <w:pStyle w:val="TableContents"/>
              <w:bidi w:val="0"/>
              <w:spacing w:before="0" w:after="0"/>
              <w:ind w:left="0" w:right="0" w:hanging="0"/>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Joint Book-Running Managers</w:t>
      </w:r>
    </w:p>
    <w:p>
      <w:pPr>
        <w:pStyle w:val="TextBody"/>
        <w:bidi w:val="0"/>
        <w:spacing w:before="0" w:after="0"/>
        <w:jc w:val="center"/>
        <w:rPr>
          <w:caps w:val="false"/>
          <w:smallCaps w:val="false"/>
        </w:rPr>
      </w:pPr>
      <w:r>
        <w:rPr>
          <w:caps w:val="false"/>
          <w:smallCaps w:val="false"/>
        </w:rPr>
        <w:t> </w:t>
      </w:r>
    </w:p>
    <w:tbl>
      <w:tblPr>
        <w:tblW w:w="10020" w:type="dxa"/>
        <w:jc w:val="left"/>
        <w:tblInd w:w="0" w:type="dxa"/>
        <w:tblLayout w:type="fixed"/>
        <w:tblCellMar>
          <w:top w:w="0" w:type="dxa"/>
          <w:left w:w="0" w:type="dxa"/>
          <w:bottom w:w="0" w:type="dxa"/>
          <w:right w:w="0" w:type="dxa"/>
        </w:tblCellMar>
      </w:tblPr>
      <w:tblGrid>
        <w:gridCol w:w="1385"/>
        <w:gridCol w:w="60"/>
        <w:gridCol w:w="1310"/>
        <w:gridCol w:w="60"/>
        <w:gridCol w:w="2240"/>
        <w:gridCol w:w="60"/>
        <w:gridCol w:w="1910"/>
        <w:gridCol w:w="60"/>
        <w:gridCol w:w="1505"/>
        <w:gridCol w:w="60"/>
        <w:gridCol w:w="1370"/>
      </w:tblGrid>
      <w:tr>
        <w:trPr/>
        <w:tc>
          <w:tcPr>
            <w:tcW w:w="1385" w:type="dxa"/>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Truist Securities</w:t>
            </w:r>
          </w:p>
        </w:tc>
        <w:tc>
          <w:tcPr>
            <w:tcW w:w="60" w:type="dxa"/>
            <w:tcBorders/>
            <w:vAlign w:val="center"/>
          </w:tcPr>
          <w:p>
            <w:pPr>
              <w:pStyle w:val="TableContents"/>
              <w:bidi w:val="0"/>
              <w:spacing w:before="0" w:after="283"/>
              <w:jc w:val="center"/>
              <w:rPr/>
            </w:pPr>
            <w:r>
              <w:rPr/>
              <w:t> </w:t>
            </w:r>
          </w:p>
        </w:tc>
        <w:tc>
          <w:tcPr>
            <w:tcW w:w="1310" w:type="dxa"/>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BofA Securities</w:t>
            </w:r>
          </w:p>
        </w:tc>
        <w:tc>
          <w:tcPr>
            <w:tcW w:w="60" w:type="dxa"/>
            <w:tcBorders/>
            <w:vAlign w:val="center"/>
          </w:tcPr>
          <w:p>
            <w:pPr>
              <w:pStyle w:val="TableContents"/>
              <w:bidi w:val="0"/>
              <w:spacing w:before="0" w:after="283"/>
              <w:jc w:val="center"/>
              <w:rPr/>
            </w:pPr>
            <w:r>
              <w:rPr/>
              <w:t> </w:t>
            </w:r>
          </w:p>
        </w:tc>
        <w:tc>
          <w:tcPr>
            <w:tcW w:w="2240" w:type="dxa"/>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PNC Capital Markets LLC</w:t>
            </w:r>
          </w:p>
        </w:tc>
        <w:tc>
          <w:tcPr>
            <w:tcW w:w="60" w:type="dxa"/>
            <w:tcBorders/>
            <w:vAlign w:val="center"/>
          </w:tcPr>
          <w:p>
            <w:pPr>
              <w:pStyle w:val="TableContents"/>
              <w:bidi w:val="0"/>
              <w:spacing w:before="0" w:after="283"/>
              <w:jc w:val="center"/>
              <w:rPr/>
            </w:pPr>
            <w:r>
              <w:rPr/>
              <w:t> </w:t>
            </w:r>
          </w:p>
        </w:tc>
        <w:tc>
          <w:tcPr>
            <w:tcW w:w="1910" w:type="dxa"/>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Wells Fargo Securities</w:t>
            </w:r>
          </w:p>
        </w:tc>
        <w:tc>
          <w:tcPr>
            <w:tcW w:w="60" w:type="dxa"/>
            <w:tcBorders/>
            <w:vAlign w:val="center"/>
          </w:tcPr>
          <w:p>
            <w:pPr>
              <w:pStyle w:val="TableContents"/>
              <w:bidi w:val="0"/>
              <w:spacing w:before="0" w:after="283"/>
              <w:jc w:val="center"/>
              <w:rPr/>
            </w:pPr>
            <w:r>
              <w:rPr/>
              <w:t> </w:t>
            </w:r>
          </w:p>
        </w:tc>
        <w:tc>
          <w:tcPr>
            <w:tcW w:w="1505" w:type="dxa"/>
            <w:tcBorders/>
            <w:vAlign w:val="center"/>
          </w:tcPr>
          <w:p>
            <w:pPr>
              <w:pStyle w:val="TableContents"/>
              <w:bidi w:val="0"/>
              <w:spacing w:before="0" w:after="283"/>
              <w:jc w:val="center"/>
              <w:rPr>
                <w:b/>
                <w:i/>
              </w:rPr>
            </w:pPr>
            <w:r>
              <w:rPr>
                <w:b/>
                <w:i/>
              </w:rPr>
              <w:t>Credit Agricole</w:t>
              <w:br/>
              <w:t>CIB</w:t>
            </w:r>
          </w:p>
        </w:tc>
        <w:tc>
          <w:tcPr>
            <w:tcW w:w="60" w:type="dxa"/>
            <w:tcBorders/>
            <w:vAlign w:val="center"/>
          </w:tcPr>
          <w:p>
            <w:pPr>
              <w:pStyle w:val="TableContents"/>
              <w:bidi w:val="0"/>
              <w:spacing w:before="0" w:after="283"/>
              <w:jc w:val="center"/>
              <w:rPr/>
            </w:pPr>
            <w:r>
              <w:rPr/>
              <w:t> </w:t>
            </w:r>
          </w:p>
        </w:tc>
        <w:tc>
          <w:tcPr>
            <w:tcW w:w="1370" w:type="dxa"/>
            <w:tcBorders/>
            <w:vAlign w:val="center"/>
          </w:tcPr>
          <w:p>
            <w:pPr>
              <w:pStyle w:val="TableContents"/>
              <w:bidi w:val="0"/>
              <w:spacing w:before="0" w:after="283"/>
              <w:jc w:val="center"/>
              <w:rPr>
                <w:b/>
                <w:i/>
              </w:rPr>
            </w:pPr>
            <w:r>
              <w:rPr>
                <w:b/>
                <w:i/>
              </w:rPr>
              <w:t>TD Securities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Co-Managers</w:t>
      </w:r>
    </w:p>
    <w:p>
      <w:pPr>
        <w:pStyle w:val="TextBody"/>
        <w:bidi w:val="0"/>
        <w:spacing w:before="0" w:after="0"/>
        <w:ind w:left="0" w:right="0" w:hanging="0"/>
        <w:jc w:val="center"/>
        <w:rPr>
          <w:caps w:val="false"/>
          <w:smallCaps w:val="false"/>
        </w:rPr>
      </w:pPr>
      <w:r>
        <w:rPr>
          <w:caps w:val="false"/>
          <w:smallCaps w:val="false"/>
        </w:rPr>
        <w:t> </w:t>
      </w:r>
    </w:p>
    <w:tbl>
      <w:tblPr>
        <w:tblW w:w="6260" w:type="dxa"/>
        <w:jc w:val="left"/>
        <w:tblInd w:w="0" w:type="dxa"/>
        <w:tblLayout w:type="fixed"/>
        <w:tblCellMar>
          <w:top w:w="0" w:type="dxa"/>
          <w:left w:w="0" w:type="dxa"/>
          <w:bottom w:w="0" w:type="dxa"/>
          <w:right w:w="0" w:type="dxa"/>
        </w:tblCellMar>
      </w:tblPr>
      <w:tblGrid>
        <w:gridCol w:w="1850"/>
        <w:gridCol w:w="60"/>
        <w:gridCol w:w="1055"/>
        <w:gridCol w:w="60"/>
        <w:gridCol w:w="1325"/>
        <w:gridCol w:w="60"/>
        <w:gridCol w:w="1850"/>
      </w:tblGrid>
      <w:tr>
        <w:trPr/>
        <w:tc>
          <w:tcPr>
            <w:tcW w:w="185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Huntington Securities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J.P. Morgan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25"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M&amp;T Securities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5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RBC Capital Markets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36" w:name="ea029800601ex-fee.htm"/>
      <w:bookmarkStart w:id="37" w:name="ksea029800601exfee"/>
      <w:bookmarkEnd w:id="36"/>
      <w:bookmarkEnd w:id="37"/>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S-3ASR</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HEICO Corporation</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695" w:type="dxa"/>
        <w:jc w:val="left"/>
        <w:tblInd w:w="0" w:type="dxa"/>
        <w:tblLayout w:type="fixed"/>
        <w:tblCellMar>
          <w:top w:w="0" w:type="dxa"/>
          <w:left w:w="0" w:type="dxa"/>
          <w:bottom w:w="0" w:type="dxa"/>
          <w:right w:w="0" w:type="dxa"/>
        </w:tblCellMar>
      </w:tblPr>
      <w:tblGrid>
        <w:gridCol w:w="530"/>
        <w:gridCol w:w="60"/>
        <w:gridCol w:w="800"/>
        <w:gridCol w:w="60"/>
        <w:gridCol w:w="800"/>
        <w:gridCol w:w="60"/>
        <w:gridCol w:w="575"/>
        <w:gridCol w:w="60"/>
        <w:gridCol w:w="1100"/>
        <w:gridCol w:w="60"/>
        <w:gridCol w:w="1220"/>
        <w:gridCol w:w="60"/>
        <w:gridCol w:w="696"/>
        <w:gridCol w:w="299"/>
        <w:gridCol w:w="60"/>
        <w:gridCol w:w="140"/>
        <w:gridCol w:w="1700"/>
        <w:gridCol w:w="60"/>
        <w:gridCol w:w="1040"/>
        <w:gridCol w:w="60"/>
        <w:gridCol w:w="140"/>
        <w:gridCol w:w="1115"/>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84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10695"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Debt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4.950% Notes due 2031</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550,000,000</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283"/>
              <w:jc w:val="right"/>
              <w:rPr/>
            </w:pPr>
            <w:r>
              <w:rPr/>
              <w:t>549,648,000.00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jc w:val="right"/>
              <w:rPr/>
            </w:pPr>
            <w:r>
              <w:rPr/>
              <w:t>75,906.39</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Debt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5.400% Notes due 2036</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650,000,000</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283"/>
              <w:jc w:val="right"/>
              <w:rPr/>
            </w:pPr>
            <w:r>
              <w:rPr/>
              <w:t>649,382,500.00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jc w:val="right"/>
              <w:rPr/>
            </w:pPr>
            <w:r>
              <w:rPr/>
              <w:t>89,679.73</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8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283"/>
              <w:jc w:val="right"/>
              <w:rPr/>
            </w:pPr>
            <w:r>
              <w:rPr/>
              <w:t>1,199,030,500.00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165,586.12</w:t>
            </w:r>
          </w:p>
        </w:tc>
      </w:tr>
      <w:tr>
        <w:trPr/>
        <w:tc>
          <w:tcPr>
            <w:tcW w:w="638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0.00</w:t>
            </w:r>
          </w:p>
        </w:tc>
      </w:tr>
      <w:tr>
        <w:trPr/>
        <w:tc>
          <w:tcPr>
            <w:tcW w:w="638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638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before="0" w:after="283"/>
              <w:jc w:val="left"/>
              <w:rPr/>
            </w:pPr>
            <w:r>
              <w:rPr/>
              <w:t>$</w:t>
            </w:r>
          </w:p>
        </w:tc>
        <w:tc>
          <w:tcPr>
            <w:tcW w:w="1115" w:type="dxa"/>
            <w:tcBorders>
              <w:bottom w:val="double" w:sz="8" w:space="0" w:color="000000"/>
            </w:tcBorders>
            <w:tcMar>
              <w:bottom w:w="28" w:type="dxa"/>
            </w:tcMar>
            <w:vAlign w:val="center"/>
          </w:tcPr>
          <w:p>
            <w:pPr>
              <w:pStyle w:val="TableContents"/>
              <w:bidi w:val="0"/>
              <w:spacing w:before="0" w:after="283"/>
              <w:jc w:val="right"/>
              <w:rPr/>
            </w:pPr>
            <w:r>
              <w:rPr/>
              <w:t>165,586.12</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80"/>
        <w:gridCol w:w="23"/>
        <w:gridCol w:w="9902"/>
      </w:tblGrid>
      <w:tr>
        <w:trPr/>
        <w:tc>
          <w:tcPr>
            <w:tcW w:w="280"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02" w:type="dxa"/>
            <w:tcBorders/>
            <w:vAlign w:val="center"/>
          </w:tcPr>
          <w:p>
            <w:pPr>
              <w:pStyle w:val="TableContents"/>
              <w:bidi w:val="0"/>
              <w:spacing w:before="0" w:after="283"/>
              <w:jc w:val="both"/>
              <w:rPr/>
            </w:pPr>
            <w:r>
              <w:rPr/>
              <w:t>Represents the aggregate principal amount of each series of notes to be offered pursuant to the prospectus supplement to which this Exhibit 107 relates.</w:t>
            </w:r>
          </w:p>
        </w:tc>
      </w:tr>
    </w:tbl>
    <w:tbl>
      <w:tblPr>
        <w:tblW w:w="10205" w:type="dxa"/>
        <w:jc w:val="left"/>
        <w:tblInd w:w="0" w:type="dxa"/>
        <w:tblLayout w:type="fixed"/>
        <w:tblCellMar>
          <w:top w:w="0" w:type="dxa"/>
          <w:left w:w="0" w:type="dxa"/>
          <w:bottom w:w="0" w:type="dxa"/>
          <w:right w:w="0" w:type="dxa"/>
        </w:tblCellMar>
      </w:tblPr>
      <w:tblGrid>
        <w:gridCol w:w="280"/>
        <w:gridCol w:w="23"/>
        <w:gridCol w:w="9902"/>
      </w:tblGrid>
      <w:tr>
        <w:trPr/>
        <w:tc>
          <w:tcPr>
            <w:tcW w:w="280"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02" w:type="dxa"/>
            <w:tcBorders/>
            <w:vAlign w:val="center"/>
          </w:tcPr>
          <w:p>
            <w:pPr>
              <w:pStyle w:val="TableContents"/>
              <w:bidi w:val="0"/>
              <w:spacing w:before="0" w:after="283"/>
              <w:jc w:val="both"/>
              <w:rPr/>
            </w:pPr>
            <w:r>
              <w:rPr/>
              <w:t>Represents the aggregate principal amount of each series of notes to be offered pursuant to the prospectus supplement to which this Exhibit 107 relates.</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46619/000004661925000082/hei-20251031.htm" TargetMode="External"/><Relationship Id="rId4" Type="http://schemas.openxmlformats.org/officeDocument/2006/relationships/hyperlink" Target="https://www.sec.gov/ix?doc=/Archives/edgar/data/46619/000114036126003023/ny20057747x1_def14a.htm" TargetMode="External"/><Relationship Id="rId5" Type="http://schemas.openxmlformats.org/officeDocument/2006/relationships/hyperlink" Target="https://www.sec.gov/ix?doc=/Archives/edgar/data/46619/000004661926000005/hei-20260131.htm" TargetMode="External"/><Relationship Id="rId6" Type="http://schemas.openxmlformats.org/officeDocument/2006/relationships/hyperlink" Target="https://www.sec.gov/ix?doc=/Archives/edgar/data/46619/000004661926000016/hei-20260430.htm" TargetMode="External"/><Relationship Id="rId7" Type="http://schemas.openxmlformats.org/officeDocument/2006/relationships/hyperlink" Target="https://www.sec.gov/ix?doc=/Archives/edgar/data/46619/000004661925000080/hei-20251218.htm" TargetMode="External"/><Relationship Id="rId8" Type="http://schemas.openxmlformats.org/officeDocument/2006/relationships/hyperlink" Target="https://www.sec.gov/ix?doc=/Archives/edgar/data/46619/000004661926000007/hei-20260313.htm" TargetMode="External"/><Relationship Id="rId9" Type="http://schemas.openxmlformats.org/officeDocument/2006/relationships/hyperlink" Target="https://www.sec.gov/ix?doc=/Archives/edgar/data/46619/000121390026069674/ea0294696-8k_heico.htm" TargetMode="External"/><Relationship Id="rId10" Type="http://schemas.openxmlformats.org/officeDocument/2006/relationships/image" Target="media/image2.jpeg"/><Relationship Id="rId11" Type="http://schemas.openxmlformats.org/officeDocument/2006/relationships/hyperlink" Target="https://www.sec.gov/ix?doc=/Archives/edgar/data/46619/000004661925000082/hei-20251031.htm" TargetMode="External"/><Relationship Id="rId12" Type="http://schemas.openxmlformats.org/officeDocument/2006/relationships/hyperlink" Target="https://www.sec.gov/ix?doc=/Archives/edgar/data/46619/000114036126003023/ny20057747x1_def14a.htm" TargetMode="External"/><Relationship Id="rId13" Type="http://schemas.openxmlformats.org/officeDocument/2006/relationships/hyperlink" Target="https://www.sec.gov/ix?doc=/Archives/edgar/data/46619/000004661926000005/hei-20260131.htm" TargetMode="External"/><Relationship Id="rId14" Type="http://schemas.openxmlformats.org/officeDocument/2006/relationships/hyperlink" Target="https://www.sec.gov/ix?doc=/Archives/edgar/data/46619/000004661926000016/hei-20260430.htm" TargetMode="External"/><Relationship Id="rId15" Type="http://schemas.openxmlformats.org/officeDocument/2006/relationships/hyperlink" Target="https://www.sec.gov/ix?doc=/Archives/edgar/data/46619/000004661925000080/hei-20251218.htm" TargetMode="External"/><Relationship Id="rId16" Type="http://schemas.openxmlformats.org/officeDocument/2006/relationships/hyperlink" Target="https://www.sec.gov/ix?doc=/Archives/edgar/data/46619/000004661926000007/hei-20260313.htm" TargetMode="External"/><Relationship Id="rId17" Type="http://schemas.openxmlformats.org/officeDocument/2006/relationships/hyperlink" Target="https://www.sec.gov/ix?doc=/Archives/edgar/data/46619/000121390026069674/ea0294696-8k_heico.htm" TargetMode="External"/><Relationship Id="rId18" Type="http://schemas.openxmlformats.org/officeDocument/2006/relationships/hyperlink" Target="https://www.sec.gov/Archives/edgar/data/46619/0000950144-99-000545.txt" TargetMode="External"/><Relationship Id="rId19" Type="http://schemas.openxmlformats.org/officeDocument/2006/relationships/hyperlink" Target="https://www.sec.gov/Archives/edgar/data/46619/000004661919000095/fy201910kexhibit41.htm" TargetMode="External"/><Relationship Id="rId20" Type="http://schemas.openxmlformats.org/officeDocument/2006/relationships/hyperlink" Target="http://www.sec.gov/ix?doc=/Archives/edgar/data/46619/000004661919000095/hei1031201910k.htm" TargetMode="External"/><Relationship Id="rId21" Type="http://schemas.openxmlformats.org/officeDocument/2006/relationships/hyperlink" Target="https://www.sec.gov/Archives/edgar/data/46619/0000950170-98-000687.txt" TargetMode="External"/><Relationship Id="rId22" Type="http://schemas.openxmlformats.org/officeDocument/2006/relationships/hyperlink" Target="https://www.sec.gov/Archives/edgar/data/46619/0000950144-99-000548.txt" TargetMode="External"/><Relationship Id="rId23" Type="http://schemas.openxmlformats.org/officeDocument/2006/relationships/hyperlink" Target="http://www.sec.gov/Archives/edgar/data/46619/000004661919000095/fy201910kexhibit41.htm" TargetMode="External"/><Relationship Id="rId24" Type="http://schemas.openxmlformats.org/officeDocument/2006/relationships/hyperlink" Target="https://www.sec.gov/ix?doc=/Archives/edgar/data/46619/000004661919000095/hei1031201910k.htm" TargetMode="External"/><Relationship Id="rId25" Type="http://schemas.openxmlformats.org/officeDocument/2006/relationships/image" Target="media/image2.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43402</Words>
  <Characters>227434</Characters>
  <CharactersWithSpaces>271005</CharactersWithSpaces>
  <Paragraphs>3074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