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MENDELSON VICTOR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825 BRICKELL BAY DRIVE, SUITE 1644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HEICO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6"/>
          <w:szCs w:val="16"/>
          <w:color w:val="0000FF"/>
        </w:rPr>
        <w:t xml:space="preserve">Co-COB and Co-CEO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Member of 10%</w:t>
      </w:r>
    </w:p>
    <w:p>
      <w:pPr>
        <w:spacing w:after="0" w:line="4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owner group</w:t>
      </w:r>
    </w:p>
    <w:p>
      <w:pPr>
        <w:spacing w:after="0" w:line="146"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FL</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33131</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80" w:type="dxa"/>
            <w:vAlign w:val="bottom"/>
            <w:gridSpan w:val="4"/>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120" w:type="dxa"/>
            <w:vAlign w:val="bottom"/>
            <w:gridSpan w:val="2"/>
          </w:tcPr>
          <w:p>
            <w:pPr>
              <w:ind w:left="300"/>
              <w:spacing w:after="0"/>
              <w:rPr>
                <w:sz w:val="20"/>
                <w:szCs w:val="20"/>
                <w:color w:val="auto"/>
              </w:rPr>
            </w:pPr>
            <w:r>
              <w:rPr>
                <w:rFonts w:ascii="Arial" w:cs="Arial" w:eastAsia="Arial" w:hAnsi="Arial"/>
                <w:sz w:val="11"/>
                <w:szCs w:val="11"/>
                <w:b w:val="1"/>
                <w:bCs w:val="1"/>
                <w:color w:val="auto"/>
              </w:rPr>
              <w:t>6. Ownership</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120" w:type="dxa"/>
            <w:vAlign w:val="bottom"/>
            <w:gridSpan w:val="2"/>
          </w:tcPr>
          <w:p>
            <w:pPr>
              <w:ind w:left="300"/>
              <w:spacing w:after="0"/>
              <w:rPr>
                <w:sz w:val="20"/>
                <w:szCs w:val="20"/>
                <w:color w:val="auto"/>
              </w:rPr>
            </w:pPr>
            <w:r>
              <w:rPr>
                <w:rFonts w:ascii="Arial" w:cs="Arial" w:eastAsia="Arial" w:hAnsi="Arial"/>
                <w:sz w:val="11"/>
                <w:szCs w:val="11"/>
                <w:b w:val="1"/>
                <w:bCs w:val="1"/>
                <w:color w:val="auto"/>
              </w:rPr>
              <w:t>Form: Direct</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ind w:left="6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1120" w:type="dxa"/>
            <w:vAlign w:val="bottom"/>
            <w:gridSpan w:val="2"/>
          </w:tcPr>
          <w:p>
            <w:pPr>
              <w:jc w:val="center"/>
              <w:ind w:left="149"/>
              <w:spacing w:after="0"/>
              <w:rPr>
                <w:sz w:val="20"/>
                <w:szCs w:val="20"/>
                <w:color w:val="auto"/>
              </w:rPr>
            </w:pPr>
            <w:r>
              <w:rPr>
                <w:rFonts w:ascii="Arial" w:cs="Arial" w:eastAsia="Arial" w:hAnsi="Arial"/>
                <w:sz w:val="11"/>
                <w:szCs w:val="11"/>
                <w:b w:val="1"/>
                <w:bCs w:val="1"/>
                <w:color w:val="auto"/>
              </w:rPr>
              <w:t>(D) or Indirect</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220" w:type="dxa"/>
            <w:vAlign w:val="bottom"/>
          </w:tcPr>
          <w:p>
            <w:pPr>
              <w:spacing w:after="0"/>
              <w:rPr>
                <w:sz w:val="11"/>
                <w:szCs w:val="11"/>
                <w:color w:val="auto"/>
              </w:rPr>
            </w:pP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6"/>
              </w:rPr>
              <w:t>1,274,308</w:t>
            </w:r>
          </w:p>
        </w:tc>
        <w:tc>
          <w:tcPr>
            <w:tcW w:w="900" w:type="dxa"/>
            <w:vAlign w:val="bottom"/>
          </w:tcPr>
          <w:p>
            <w:pPr>
              <w:jc w:val="center"/>
              <w:ind w:left="42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7"/>
              </w:rPr>
              <w:t>215,911</w:t>
            </w:r>
          </w:p>
        </w:tc>
        <w:tc>
          <w:tcPr>
            <w:tcW w:w="900" w:type="dxa"/>
            <w:vAlign w:val="bottom"/>
          </w:tcPr>
          <w:p>
            <w:pPr>
              <w:jc w:val="center"/>
              <w:ind w:left="429"/>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7"/>
              </w:rPr>
              <w:t>189,030</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7"/>
              </w:rPr>
              <w:t>Corporation</w:t>
            </w:r>
            <w:r>
              <w:rPr>
                <w:rFonts w:ascii="Times New Roman" w:cs="Times New Roman" w:eastAsia="Times New Roman" w:hAnsi="Times New Roman"/>
                <w:sz w:val="21"/>
                <w:szCs w:val="21"/>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7"/>
              </w:rPr>
              <w:t>172,515</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9"/>
              </w:rPr>
              <w:t>4,762</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8"/>
              </w:rPr>
              <w:t>19,136</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8"/>
              </w:rPr>
              <w:t>93,198</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8"/>
              </w:rPr>
              <w:t>88,439</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rPr>
              <w:t>921</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8"/>
              </w:rPr>
              <w:t>16,133</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7"/>
              </w:rPr>
              <w:t>570,852</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7"/>
              </w:rPr>
              <w:t>137,199</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8"/>
              </w:rPr>
              <w:t>28,819</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left="105"/>
              <w:spacing w:after="0"/>
              <w:rPr>
                <w:sz w:val="20"/>
                <w:szCs w:val="20"/>
                <w:color w:val="auto"/>
              </w:rPr>
            </w:pPr>
            <w:r>
              <w:rPr>
                <w:rFonts w:ascii="Times New Roman" w:cs="Times New Roman" w:eastAsia="Times New Roman" w:hAnsi="Times New Roman"/>
                <w:sz w:val="17"/>
                <w:szCs w:val="17"/>
                <w:color w:val="0000FF"/>
                <w:w w:val="99"/>
              </w:rPr>
              <w:t>8,465</w:t>
            </w:r>
          </w:p>
        </w:tc>
        <w:tc>
          <w:tcPr>
            <w:tcW w:w="900" w:type="dxa"/>
            <w:vAlign w:val="bottom"/>
            <w:tcBorders>
              <w:bottom w:val="single" w:sz="8" w:color="2C2C2C"/>
            </w:tcBorders>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9"/>
              </w:rPr>
              <w:t>4,072</w:t>
            </w:r>
          </w:p>
        </w:tc>
        <w:tc>
          <w:tcPr>
            <w:tcW w:w="900" w:type="dxa"/>
            <w:vAlign w:val="bottom"/>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(6)</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vMerge w:val="continue"/>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1"/>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1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5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w w:val="99"/>
              </w:rPr>
              <w:t>of Shares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115,313</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44.9638</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03/17/2027</w:t>
            </w:r>
          </w:p>
        </w:tc>
        <w:tc>
          <w:tcPr>
            <w:tcW w:w="580" w:type="dxa"/>
            <w:vAlign w:val="bottom"/>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200"/>
              <w:spacing w:after="0" w:line="128" w:lineRule="exact"/>
              <w:rPr>
                <w:sz w:val="20"/>
                <w:szCs w:val="20"/>
                <w:color w:val="auto"/>
              </w:rPr>
            </w:pPr>
            <w:r>
              <w:rPr>
                <w:rFonts w:ascii="Times New Roman" w:cs="Times New Roman" w:eastAsia="Times New Roman" w:hAnsi="Times New Roman"/>
                <w:sz w:val="13"/>
                <w:szCs w:val="13"/>
                <w:color w:val="0000FF"/>
              </w:rPr>
              <w:t>115,313</w:t>
            </w:r>
          </w:p>
        </w:tc>
        <w:tc>
          <w:tcPr>
            <w:tcW w:w="220" w:type="dxa"/>
            <w:vAlign w:val="bottom"/>
          </w:tcPr>
          <w:p>
            <w:pPr>
              <w:spacing w:after="0"/>
              <w:rPr>
                <w:sz w:val="11"/>
                <w:szCs w:val="11"/>
                <w:color w:val="auto"/>
              </w:rPr>
            </w:pPr>
          </w:p>
        </w:tc>
        <w:tc>
          <w:tcPr>
            <w:tcW w:w="5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180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4180205"/>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70.656</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03/16/2028</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09/24/2031</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163.35</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03/17/2033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163.61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06/09/2033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w w:val="92"/>
              </w:rPr>
              <w:t>05/27/2026</w:t>
            </w:r>
            <w:r>
              <w:rPr>
                <w:rFonts w:ascii="Times New Roman" w:cs="Times New Roman" w:eastAsia="Times New Roman" w:hAnsi="Times New Roman"/>
                <w:sz w:val="21"/>
                <w:szCs w:val="21"/>
                <w:color w:val="008000"/>
                <w:w w:val="92"/>
                <w:vertAlign w:val="superscript"/>
              </w:rPr>
              <w:t>(8)</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256.01</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05/27/2026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3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Mendelson International Corporation whose stock is owned solely by the Reporting Person and Eric Mendelson, the brother of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VHM Management Limited Partners, a partnership whose sole general partner is a corporation controlled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based on a plan statement dated May 26, 2026.</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trusts for the benefit of the Reporting Person's immediate family members and whose Trustee is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the Victor H. Mendelson Revocable Investment Trust which is owned solely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reporting person by the HEICO Corporation Leadership Compensation Plan (409A Plan).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become exercisable 20% per year over five years from the date of Grant.</w:t>
      </w:r>
    </w:p>
    <w:p>
      <w:pPr>
        <w:spacing w:after="0" w:line="41" w:lineRule="exact"/>
        <w:rPr>
          <w:rFonts w:ascii="Times New Roman" w:cs="Times New Roman" w:eastAsia="Times New Roman" w:hAnsi="Times New Roman"/>
          <w:sz w:val="13"/>
          <w:szCs w:val="13"/>
          <w:color w:val="008000"/>
        </w:rPr>
      </w:pPr>
    </w:p>
    <w:p>
      <w:pPr>
        <w:ind w:left="20" w:right="18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Victor H. Mendelson</w:t>
            </w:r>
          </w:p>
        </w:tc>
        <w:tc>
          <w:tcPr>
            <w:tcW w:w="6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05/29/2026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31082"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2026-05-29T16:50:16Z</dcterms:created>
  <dcterms:modified xsi:type="dcterms:W3CDTF">2026-05-29T16:50:16Z</dcterms:modified>
</cp:coreProperties>
</file>