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HEICO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PRINCIPAL GLOBAL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7,289,366.00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7,289,366.00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7,289,366.00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PRINCIPAL FUNDS,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5,052,382.00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5,052,382.00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5,052,382.00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3"/>
        <w:gridCol w:w="8937"/>
        <w:gridCol w:w="155"/>
      </w:tblGrid>
      <w:tr>
        <w:trPr/>
        <w:tc>
          <w:tcPr>
            <w:tcW w:w="1113" w:type="dxa"/>
            <w:tcBorders/>
            <w:vAlign w:val="center"/>
          </w:tcPr>
          <w:p>
            <w:pPr>
              <w:pStyle w:val="TableContents"/>
              <w:bidi w:val="0"/>
              <w:spacing w:before="0" w:after="283"/>
              <w:jc w:val="left"/>
              <w:rPr/>
            </w:pPr>
            <w:r>
              <w:rPr/>
              <w:t>Item 1.</w:t>
            </w:r>
          </w:p>
        </w:tc>
        <w:tc>
          <w:tcPr>
            <w:tcW w:w="893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jc w:val="left"/>
              <w:rPr/>
            </w:pPr>
            <w:r>
              <w:rPr/>
              <w:t xml:space="preserve">Name of issuer: </w:t>
            </w:r>
          </w:p>
          <w:p>
            <w:pPr>
              <w:pStyle w:val="TableContents"/>
              <w:bidi w:val="0"/>
              <w:spacing w:before="0" w:after="0"/>
              <w:jc w:val="left"/>
              <w:rPr/>
            </w:pPr>
            <w:r>
              <w:rPr/>
              <w:t>HEICO CORP</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3000 TAFT ST, HOLLYWOOD, FLORIDA 33021</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2.</w:t>
            </w:r>
          </w:p>
        </w:tc>
        <w:tc>
          <w:tcPr>
            <w:tcW w:w="893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jc w:val="left"/>
              <w:rPr/>
            </w:pPr>
            <w:r>
              <w:rPr/>
              <w:t xml:space="preserve">Name of person filing: </w:t>
            </w:r>
          </w:p>
          <w:p>
            <w:pPr>
              <w:pStyle w:val="TableContents"/>
              <w:bidi w:val="0"/>
              <w:spacing w:before="0" w:after="0"/>
              <w:jc w:val="left"/>
              <w:rPr/>
            </w:pPr>
            <w:r>
              <w:rPr/>
              <w:t>PRINCIPAL GLOBAL INVESTORS PRINCIPAL FUNDS, INC.</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PRINCIPAL GLOBAL INVESTORS 711 HIGH STREET DES MOINES, Iowa 50392-0300 PRINCIPAL FUNDS, INC. 711 HIGH STREET DES MOINES, Iowa 50392-0300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37" w:type="dxa"/>
            <w:tcBorders/>
            <w:vAlign w:val="center"/>
          </w:tcPr>
          <w:p>
            <w:pPr>
              <w:pStyle w:val="TableContents"/>
              <w:bidi w:val="0"/>
              <w:jc w:val="left"/>
              <w:rPr/>
            </w:pPr>
            <w:r>
              <w:rPr/>
              <w:t xml:space="preserve">Citizenship: </w:t>
            </w:r>
          </w:p>
          <w:p>
            <w:pPr>
              <w:pStyle w:val="TableContents"/>
              <w:bidi w:val="0"/>
              <w:spacing w:before="0" w:after="0"/>
              <w:jc w:val="left"/>
              <w:rPr/>
            </w:pPr>
            <w:r>
              <w:rPr/>
              <w:t>PRINCIPAL GLOBAL INVESTORS - DELAWARE PRINCIPAL FUNDS, INC. - MARYLAND</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(d)</w:t>
            </w:r>
          </w:p>
        </w:tc>
        <w:tc>
          <w:tcPr>
            <w:tcW w:w="893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(e)</w:t>
            </w:r>
          </w:p>
        </w:tc>
        <w:tc>
          <w:tcPr>
            <w:tcW w:w="893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3.</w:t>
            </w:r>
          </w:p>
        </w:tc>
        <w:tc>
          <w:tcPr>
            <w:tcW w:w="893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(d)</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(e)</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(f)</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(g)</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(h)</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(j)</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(k)</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9092" w:type="dxa"/>
            <w:gridSpan w:val="2"/>
            <w:tcBorders/>
            <w:vAlign w:val="center"/>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4.</w:t>
            </w:r>
          </w:p>
        </w:tc>
        <w:tc>
          <w:tcPr>
            <w:tcW w:w="893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7,289,366</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8.6  %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3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PRINCIPAL GLOBAL INVESTORS - 0 PRINCIPAL FUNDS, INC.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PRINCIPAL GLOBAL INVESTORS - 7,289,366 PRINCIPAL FUNDS, INC. - 5,052,382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PRINCIPAL GLOBAL INVESTORS - 0 PRINCIPAL FUNDS, INC.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PRINCIPAL GLOBAL INVESTORS - 7,289,366 PRINCIPAL FUNDS, INC. - 5,052,382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5.</w:t>
            </w:r>
          </w:p>
        </w:tc>
        <w:tc>
          <w:tcPr>
            <w:tcW w:w="893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6.</w:t>
            </w:r>
          </w:p>
        </w:tc>
        <w:tc>
          <w:tcPr>
            <w:tcW w:w="893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As of June 30, 2026 the Principal MidCap Fund, a series to the Principal Funds, Inc., had ownership of 5,052,382 shares representing 6.0%.</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7.</w:t>
            </w:r>
          </w:p>
        </w:tc>
        <w:tc>
          <w:tcPr>
            <w:tcW w:w="893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8.</w:t>
            </w:r>
          </w:p>
        </w:tc>
        <w:tc>
          <w:tcPr>
            <w:tcW w:w="893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9.</w:t>
            </w:r>
          </w:p>
        </w:tc>
        <w:tc>
          <w:tcPr>
            <w:tcW w:w="893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148" w:type="dxa"/>
        <w:jc w:val="left"/>
        <w:tblInd w:w="0" w:type="dxa"/>
        <w:tblLayout w:type="fixed"/>
        <w:tblCellMar>
          <w:top w:w="28" w:type="dxa"/>
          <w:left w:w="28" w:type="dxa"/>
          <w:bottom w:w="28" w:type="dxa"/>
          <w:right w:w="28" w:type="dxa"/>
        </w:tblCellMar>
      </w:tblPr>
      <w:tblGrid>
        <w:gridCol w:w="4074"/>
        <w:gridCol w:w="4074"/>
      </w:tblGrid>
      <w:tr>
        <w:trPr/>
        <w:tc>
          <w:tcPr>
            <w:tcW w:w="4074" w:type="dxa"/>
            <w:tcBorders/>
            <w:vAlign w:val="center"/>
          </w:tcPr>
          <w:p>
            <w:pPr>
              <w:pStyle w:val="TableContents"/>
              <w:bidi w:val="0"/>
              <w:spacing w:before="0" w:after="0"/>
              <w:jc w:val="left"/>
              <w:rPr/>
            </w:pPr>
            <w:r>
              <w:rPr/>
              <w:t> </w:t>
            </w:r>
          </w:p>
          <w:tbl>
            <w:tblPr>
              <w:tblW w:w="3901" w:type="dxa"/>
              <w:jc w:val="left"/>
              <w:tblInd w:w="0" w:type="dxa"/>
              <w:tblLayout w:type="fixed"/>
              <w:tblCellMar>
                <w:top w:w="28" w:type="dxa"/>
                <w:left w:w="28" w:type="dxa"/>
                <w:bottom w:w="28" w:type="dxa"/>
                <w:right w:w="28" w:type="dxa"/>
              </w:tblCellMar>
            </w:tblPr>
            <w:tblGrid>
              <w:gridCol w:w="3901"/>
            </w:tblGrid>
            <w:tr>
              <w:trPr/>
              <w:tc>
                <w:tcPr>
                  <w:tcW w:w="3901" w:type="dxa"/>
                  <w:tcBorders/>
                  <w:vAlign w:val="center"/>
                </w:tcPr>
                <w:p>
                  <w:pPr>
                    <w:pStyle w:val="TableContents"/>
                    <w:bidi w:val="0"/>
                    <w:spacing w:before="0" w:after="0"/>
                    <w:jc w:val="left"/>
                    <w:rPr/>
                  </w:pPr>
                  <w:r>
                    <w:rPr/>
                    <w:t>PRINCIPAL GLOBAL INVESTORS</w:t>
                  </w:r>
                </w:p>
              </w:tc>
            </w:tr>
          </w:tbl>
          <w:p>
            <w:pPr>
              <w:pStyle w:val="TableContents"/>
              <w:bidi w:val="0"/>
              <w:spacing w:before="0" w:after="283"/>
              <w:jc w:val="left"/>
              <w:rPr/>
            </w:pPr>
            <w:r>
              <w:rPr/>
            </w:r>
          </w:p>
        </w:tc>
        <w:tc>
          <w:tcPr>
            <w:tcW w:w="40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J. Markham Penrod</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J. Markham Penrod, Chief Compliance Officer - North America, Principal Asset Management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PRINCIPAL FUNDS, INC.</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John L. Sullivan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John L. Sullivan, Counsel and Assistant Secretary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This statement is filed by Principal Global Investors, LLC and Principal Funds, Inc. jointly pursuant to a Joint Filing Agreement, which is filed with this Schedule 13G as Exhibit 99.1.</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1077</Words>
  <Characters>5569</Characters>
  <CharactersWithSpaces>6616</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