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HEICO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Capital International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2,785,841.00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2,812,919.00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2,812,919.00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HEICO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3000 Taft St, Hollywood, FL 33021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Capital International Investors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333 South Hope Street, 55th Fl, Los Angeles, CA 90071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spacing w:after="0" w:line="62" w:lineRule="exact"/>
        <w:rPr>
          <w:sz w:val="20"/>
          <w:szCs w:val="20"/>
          <w:color w:val="auto"/>
        </w:rPr>
      </w:pPr>
    </w:p>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20"/>
        <w:spacing w:after="0" w:line="253" w:lineRule="auto"/>
        <w:rPr>
          <w:sz w:val="20"/>
          <w:szCs w:val="20"/>
          <w:color w:val="auto"/>
        </w:rPr>
      </w:pPr>
      <w:r>
        <w:rPr>
          <w:rFonts w:ascii="Times New Roman" w:cs="Times New Roman" w:eastAsia="Times New Roman" w:hAnsi="Times New Roman"/>
          <w:sz w:val="21"/>
          <w:szCs w:val="21"/>
          <w:color w:val="auto"/>
        </w:rPr>
        <w:t>2,812,919 ** **Capital International Investors ("CII") is a division of Capital Research and Management Company ("CRMC"), as well as its investment management subsidiaries and affiliates Capital Bank and Trust Company,</w:t>
      </w:r>
    </w:p>
    <w:p>
      <w:pPr>
        <w:spacing w:after="0" w:line="1" w:lineRule="exact"/>
        <w:rPr>
          <w:sz w:val="20"/>
          <w:szCs w:val="20"/>
          <w:color w:val="auto"/>
        </w:rPr>
      </w:pPr>
    </w:p>
    <w:p>
      <w:pPr>
        <w:ind w:left="920" w:right="20" w:hanging="912"/>
        <w:spacing w:after="0" w:line="233"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 International, Inc., Capital International Limited, Capital International Sarl, Capital International K.K., Capital Group Private Client Services, Inc., and Capital Group Investment Management Private Limited (together with CRMC, the "investment management entities"). CII's divisions of each of the investment management entities collectively provide investment management services under the name "Capital International Investors." CII is deemed to be the beneficial owner of 2,812,919 shares or 5.1% of the 55,148,527 shares believed to be outstanding.</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901"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2,785,841</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2,812,919</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901"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Capital International Investors</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Aaron Espin</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Senior Vice President</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ectPr>
          <w:pgSz w:w="11900" w:h="16901" w:orient="portrait"/>
          <w:cols w:equalWidth="0" w:num="1">
            <w:col w:w="11140"/>
          </w:cols>
          <w:pgMar w:left="360" w:top="111" w:right="399" w:bottom="0"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2026-05-14T11:54:38Z</dcterms:created>
  <dcterms:modified xsi:type="dcterms:W3CDTF">2026-05-14T11:54:38Z</dcterms:modified>
</cp:coreProperties>
</file>