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331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237"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MENDELSON ERIC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825 BRICKELL BAY DRIVE, SUITE 1644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HEICO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HEI, HEI.A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6"/>
          <w:szCs w:val="16"/>
          <w:color w:val="0000FF"/>
        </w:rPr>
        <w:t xml:space="preserve">Co-COB and Co-CEO </w:t>
      </w:r>
      <w:r>
        <w:rPr>
          <w:rFonts w:ascii="Times New Roman" w:cs="Times New Roman" w:eastAsia="Times New Roman" w:hAnsi="Times New Roman"/>
          <w:sz w:val="19"/>
          <w:szCs w:val="19"/>
          <w:color w:val="000000"/>
        </w:rPr>
        <w:t>/</w:t>
      </w:r>
      <w:r>
        <w:rPr>
          <w:rFonts w:ascii="Times New Roman" w:cs="Times New Roman" w:eastAsia="Times New Roman" w:hAnsi="Times New Roman"/>
          <w:sz w:val="16"/>
          <w:szCs w:val="16"/>
          <w:color w:val="0000FF"/>
        </w:rPr>
        <w:t xml:space="preserve"> Member of 10%</w:t>
      </w:r>
    </w:p>
    <w:p>
      <w:pPr>
        <w:spacing w:after="0" w:line="41"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owner group</w:t>
      </w:r>
    </w:p>
    <w:p>
      <w:pPr>
        <w:spacing w:after="0" w:line="146" w:lineRule="exact"/>
        <w:rPr>
          <w:sz w:val="24"/>
          <w:szCs w:val="24"/>
          <w:color w:val="auto"/>
        </w:rPr>
      </w:pPr>
    </w:p>
    <w:p>
      <w:pPr>
        <w:sectPr>
          <w:pgSz w:w="11900" w:h="16838" w:orient="portrait"/>
          <w:cols w:equalWidth="0" w:num="3">
            <w:col w:w="3180" w:space="720"/>
            <w:col w:w="3115" w:space="720"/>
            <w:col w:w="3345"/>
          </w:cols>
          <w:pgMar w:left="460" w:top="216" w:right="359" w:bottom="237"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8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FL</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33131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gridSpan w:val="4"/>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24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10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120" w:type="dxa"/>
            <w:vAlign w:val="bottom"/>
            <w:gridSpan w:val="2"/>
          </w:tcPr>
          <w:p>
            <w:pPr>
              <w:ind w:left="300"/>
              <w:spacing w:after="0"/>
              <w:rPr>
                <w:sz w:val="20"/>
                <w:szCs w:val="20"/>
                <w:color w:val="auto"/>
              </w:rPr>
            </w:pPr>
            <w:r>
              <w:rPr>
                <w:rFonts w:ascii="Arial" w:cs="Arial" w:eastAsia="Arial" w:hAnsi="Arial"/>
                <w:sz w:val="11"/>
                <w:szCs w:val="11"/>
                <w:b w:val="1"/>
                <w:bCs w:val="1"/>
                <w:color w:val="auto"/>
              </w:rPr>
              <w:t>6. Ownership</w:t>
            </w:r>
          </w:p>
        </w:tc>
        <w:tc>
          <w:tcPr>
            <w:tcW w:w="1200" w:type="dxa"/>
            <w:vAlign w:val="bottom"/>
            <w:gridSpan w:val="5"/>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1120" w:type="dxa"/>
            <w:vAlign w:val="bottom"/>
            <w:gridSpan w:val="2"/>
          </w:tcPr>
          <w:p>
            <w:pPr>
              <w:ind w:left="300"/>
              <w:spacing w:after="0"/>
              <w:rPr>
                <w:sz w:val="20"/>
                <w:szCs w:val="20"/>
                <w:color w:val="auto"/>
              </w:rPr>
            </w:pPr>
            <w:r>
              <w:rPr>
                <w:rFonts w:ascii="Arial" w:cs="Arial" w:eastAsia="Arial" w:hAnsi="Arial"/>
                <w:sz w:val="11"/>
                <w:szCs w:val="11"/>
                <w:b w:val="1"/>
                <w:bCs w:val="1"/>
                <w:color w:val="auto"/>
              </w:rPr>
              <w:t>Form: Direct</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3"/>
          </w:tcPr>
          <w:p>
            <w:pPr>
              <w:ind w:left="6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1120" w:type="dxa"/>
            <w:vAlign w:val="bottom"/>
            <w:gridSpan w:val="2"/>
          </w:tcPr>
          <w:p>
            <w:pPr>
              <w:jc w:val="center"/>
              <w:ind w:left="150"/>
              <w:spacing w:after="0"/>
              <w:rPr>
                <w:sz w:val="20"/>
                <w:szCs w:val="20"/>
                <w:color w:val="auto"/>
              </w:rPr>
            </w:pPr>
            <w:r>
              <w:rPr>
                <w:rFonts w:ascii="Arial" w:cs="Arial" w:eastAsia="Arial" w:hAnsi="Arial"/>
                <w:sz w:val="11"/>
                <w:szCs w:val="11"/>
                <w:b w:val="1"/>
                <w:bCs w:val="1"/>
                <w:color w:val="auto"/>
              </w:rPr>
              <w:t>(D) or Indirect</w:t>
            </w:r>
          </w:p>
        </w:tc>
        <w:tc>
          <w:tcPr>
            <w:tcW w:w="1200" w:type="dxa"/>
            <w:vAlign w:val="bottom"/>
            <w:gridSpan w:val="5"/>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3"/>
          </w:tcPr>
          <w:p>
            <w:pPr>
              <w:spacing w:after="0"/>
              <w:rPr>
                <w:sz w:val="20"/>
                <w:szCs w:val="20"/>
                <w:color w:val="auto"/>
              </w:rPr>
            </w:pPr>
            <w:r>
              <w:rPr>
                <w:rFonts w:ascii="Arial" w:cs="Arial" w:eastAsia="Arial" w:hAnsi="Arial"/>
                <w:sz w:val="11"/>
                <w:szCs w:val="11"/>
                <w:b w:val="1"/>
                <w:bCs w:val="1"/>
                <w:color w:val="auto"/>
              </w:rPr>
              <w:t>Owned Following   (I) (Instr. 4)</w:t>
            </w:r>
          </w:p>
        </w:tc>
        <w:tc>
          <w:tcPr>
            <w:tcW w:w="220" w:type="dxa"/>
            <w:vAlign w:val="bottom"/>
          </w:tcPr>
          <w:p>
            <w:pPr>
              <w:spacing w:after="0"/>
              <w:rPr>
                <w:sz w:val="11"/>
                <w:szCs w:val="11"/>
                <w:color w:val="auto"/>
              </w:rPr>
            </w:pPr>
          </w:p>
        </w:tc>
        <w:tc>
          <w:tcPr>
            <w:tcW w:w="1200" w:type="dxa"/>
            <w:vAlign w:val="bottom"/>
            <w:gridSpan w:val="5"/>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8"/>
                <w:szCs w:val="8"/>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tcPr>
          <w:p>
            <w:pPr>
              <w:jc w:val="center"/>
              <w:ind w:left="106"/>
              <w:spacing w:after="0"/>
              <w:rPr>
                <w:sz w:val="20"/>
                <w:szCs w:val="20"/>
                <w:color w:val="auto"/>
              </w:rPr>
            </w:pPr>
            <w:r>
              <w:rPr>
                <w:rFonts w:ascii="Times New Roman" w:cs="Times New Roman" w:eastAsia="Times New Roman" w:hAnsi="Times New Roman"/>
                <w:sz w:val="17"/>
                <w:szCs w:val="17"/>
                <w:color w:val="0000FF"/>
                <w:w w:val="96"/>
              </w:rPr>
              <w:t>1,266,407</w:t>
            </w:r>
          </w:p>
        </w:tc>
        <w:tc>
          <w:tcPr>
            <w:tcW w:w="900" w:type="dxa"/>
            <w:vAlign w:val="bottom"/>
          </w:tcPr>
          <w:p>
            <w:pPr>
              <w:jc w:val="center"/>
              <w:ind w:left="43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tcPr>
          <w:p>
            <w:pPr>
              <w:jc w:val="center"/>
              <w:ind w:left="106"/>
              <w:spacing w:after="0"/>
              <w:rPr>
                <w:sz w:val="20"/>
                <w:szCs w:val="20"/>
                <w:color w:val="auto"/>
              </w:rPr>
            </w:pPr>
            <w:r>
              <w:rPr>
                <w:rFonts w:ascii="Times New Roman" w:cs="Times New Roman" w:eastAsia="Times New Roman" w:hAnsi="Times New Roman"/>
                <w:sz w:val="17"/>
                <w:szCs w:val="17"/>
                <w:color w:val="0000FF"/>
                <w:w w:val="97"/>
              </w:rPr>
              <w:t>148,891</w:t>
            </w:r>
          </w:p>
        </w:tc>
        <w:tc>
          <w:tcPr>
            <w:tcW w:w="900" w:type="dxa"/>
            <w:vAlign w:val="bottom"/>
          </w:tcPr>
          <w:p>
            <w:pPr>
              <w:jc w:val="center"/>
              <w:ind w:left="43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6"/>
              <w:spacing w:after="0"/>
              <w:rPr>
                <w:sz w:val="20"/>
                <w:szCs w:val="20"/>
                <w:color w:val="auto"/>
              </w:rPr>
            </w:pPr>
            <w:r>
              <w:rPr>
                <w:rFonts w:ascii="Times New Roman" w:cs="Times New Roman" w:eastAsia="Times New Roman" w:hAnsi="Times New Roman"/>
                <w:sz w:val="17"/>
                <w:szCs w:val="17"/>
                <w:color w:val="0000FF"/>
                <w:w w:val="98"/>
              </w:rPr>
              <w:t>15,227</w:t>
            </w:r>
          </w:p>
        </w:tc>
        <w:tc>
          <w:tcPr>
            <w:tcW w:w="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Keogh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6"/>
              <w:spacing w:after="0"/>
              <w:rPr>
                <w:sz w:val="20"/>
                <w:szCs w:val="20"/>
                <w:color w:val="auto"/>
              </w:rPr>
            </w:pPr>
            <w:r>
              <w:rPr>
                <w:rFonts w:ascii="Times New Roman" w:cs="Times New Roman" w:eastAsia="Times New Roman" w:hAnsi="Times New Roman"/>
                <w:sz w:val="17"/>
                <w:szCs w:val="17"/>
                <w:color w:val="0000FF"/>
                <w:w w:val="98"/>
              </w:rPr>
              <w:t>10,078</w:t>
            </w:r>
          </w:p>
        </w:tc>
        <w:tc>
          <w:tcPr>
            <w:tcW w:w="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Keogh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left="106"/>
              <w:spacing w:after="0"/>
              <w:rPr>
                <w:sz w:val="20"/>
                <w:szCs w:val="20"/>
                <w:color w:val="auto"/>
              </w:rPr>
            </w:pPr>
            <w:r>
              <w:rPr>
                <w:rFonts w:ascii="Times New Roman" w:cs="Times New Roman" w:eastAsia="Times New Roman" w:hAnsi="Times New Roman"/>
                <w:sz w:val="17"/>
                <w:szCs w:val="17"/>
                <w:color w:val="0000FF"/>
                <w:w w:val="97"/>
              </w:rPr>
              <w:t>427,326</w:t>
            </w:r>
          </w:p>
        </w:tc>
        <w:tc>
          <w:tcPr>
            <w:tcW w:w="900" w:type="dxa"/>
            <w:vAlign w:val="bottom"/>
            <w:tcBorders>
              <w:bottom w:val="single" w:sz="8" w:color="2C2C2C"/>
            </w:tcBorders>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Trusts</w:t>
            </w:r>
            <w:r>
              <w:rPr>
                <w:rFonts w:ascii="Times New Roman" w:cs="Times New Roman" w:eastAsia="Times New Roman" w:hAnsi="Times New Roman"/>
                <w:sz w:val="21"/>
                <w:szCs w:val="21"/>
                <w:color w:val="008000"/>
                <w:vertAlign w:val="superscript"/>
              </w:rPr>
              <w:t>(1)</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6"/>
              <w:spacing w:after="0"/>
              <w:rPr>
                <w:sz w:val="20"/>
                <w:szCs w:val="20"/>
                <w:color w:val="auto"/>
              </w:rPr>
            </w:pPr>
            <w:r>
              <w:rPr>
                <w:rFonts w:ascii="Times New Roman" w:cs="Times New Roman" w:eastAsia="Times New Roman" w:hAnsi="Times New Roman"/>
                <w:sz w:val="17"/>
                <w:szCs w:val="17"/>
                <w:color w:val="0000FF"/>
                <w:w w:val="97"/>
              </w:rPr>
              <w:t>189,030</w:t>
            </w:r>
          </w:p>
        </w:tc>
        <w:tc>
          <w:tcPr>
            <w:tcW w:w="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7"/>
              </w:rPr>
              <w:t>Corporation</w:t>
            </w:r>
            <w:r>
              <w:rPr>
                <w:rFonts w:ascii="Times New Roman" w:cs="Times New Roman" w:eastAsia="Times New Roman" w:hAnsi="Times New Roman"/>
                <w:sz w:val="21"/>
                <w:szCs w:val="21"/>
                <w:color w:val="008000"/>
                <w:w w:val="97"/>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6"/>
              <w:spacing w:after="0"/>
              <w:rPr>
                <w:sz w:val="20"/>
                <w:szCs w:val="20"/>
                <w:color w:val="auto"/>
              </w:rPr>
            </w:pPr>
            <w:r>
              <w:rPr>
                <w:rFonts w:ascii="Times New Roman" w:cs="Times New Roman" w:eastAsia="Times New Roman" w:hAnsi="Times New Roman"/>
                <w:sz w:val="17"/>
                <w:szCs w:val="17"/>
                <w:color w:val="0000FF"/>
                <w:w w:val="97"/>
              </w:rPr>
              <w:t>392,718</w:t>
            </w:r>
          </w:p>
        </w:tc>
        <w:tc>
          <w:tcPr>
            <w:tcW w:w="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1"/>
                <w:szCs w:val="21"/>
                <w:color w:val="00800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6"/>
              <w:spacing w:after="0"/>
              <w:rPr>
                <w:sz w:val="20"/>
                <w:szCs w:val="20"/>
                <w:color w:val="auto"/>
              </w:rPr>
            </w:pPr>
            <w:r>
              <w:rPr>
                <w:rFonts w:ascii="Times New Roman" w:cs="Times New Roman" w:eastAsia="Times New Roman" w:hAnsi="Times New Roman"/>
                <w:sz w:val="17"/>
                <w:szCs w:val="17"/>
                <w:color w:val="0000FF"/>
                <w:w w:val="99"/>
              </w:rPr>
              <w:t>4,522</w:t>
            </w:r>
          </w:p>
        </w:tc>
        <w:tc>
          <w:tcPr>
            <w:tcW w:w="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As custodian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for children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6"/>
              <w:spacing w:after="0"/>
              <w:rPr>
                <w:sz w:val="20"/>
                <w:szCs w:val="20"/>
                <w:color w:val="auto"/>
              </w:rPr>
            </w:pPr>
            <w:r>
              <w:rPr>
                <w:rFonts w:ascii="Times New Roman" w:cs="Times New Roman" w:eastAsia="Times New Roman" w:hAnsi="Times New Roman"/>
                <w:sz w:val="17"/>
                <w:szCs w:val="17"/>
                <w:color w:val="0000FF"/>
                <w:w w:val="99"/>
              </w:rPr>
              <w:t>5,204</w:t>
            </w:r>
          </w:p>
        </w:tc>
        <w:tc>
          <w:tcPr>
            <w:tcW w:w="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As custodian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for children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left="106"/>
              <w:spacing w:after="0"/>
              <w:rPr>
                <w:sz w:val="20"/>
                <w:szCs w:val="20"/>
                <w:color w:val="auto"/>
              </w:rPr>
            </w:pPr>
            <w:r>
              <w:rPr>
                <w:rFonts w:ascii="Times New Roman" w:cs="Times New Roman" w:eastAsia="Times New Roman" w:hAnsi="Times New Roman"/>
                <w:sz w:val="17"/>
                <w:szCs w:val="17"/>
                <w:color w:val="0000FF"/>
                <w:w w:val="97"/>
              </w:rPr>
              <w:t>112,514</w:t>
            </w:r>
          </w:p>
        </w:tc>
        <w:tc>
          <w:tcPr>
            <w:tcW w:w="900" w:type="dxa"/>
            <w:vAlign w:val="bottom"/>
            <w:tcBorders>
              <w:bottom w:val="single" w:sz="8" w:color="2C2C2C"/>
            </w:tcBorders>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401(k)</w:t>
            </w:r>
            <w:r>
              <w:rPr>
                <w:rFonts w:ascii="Times New Roman" w:cs="Times New Roman" w:eastAsia="Times New Roman" w:hAnsi="Times New Roman"/>
                <w:sz w:val="21"/>
                <w:szCs w:val="21"/>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left="106"/>
              <w:spacing w:after="0"/>
              <w:rPr>
                <w:sz w:val="20"/>
                <w:szCs w:val="20"/>
                <w:color w:val="auto"/>
              </w:rPr>
            </w:pPr>
            <w:r>
              <w:rPr>
                <w:rFonts w:ascii="Times New Roman" w:cs="Times New Roman" w:eastAsia="Times New Roman" w:hAnsi="Times New Roman"/>
                <w:sz w:val="17"/>
                <w:szCs w:val="17"/>
                <w:color w:val="0000FF"/>
                <w:w w:val="97"/>
              </w:rPr>
              <w:t>107,245</w:t>
            </w:r>
          </w:p>
        </w:tc>
        <w:tc>
          <w:tcPr>
            <w:tcW w:w="900" w:type="dxa"/>
            <w:vAlign w:val="bottom"/>
            <w:tcBorders>
              <w:bottom w:val="single" w:sz="8" w:color="2C2C2C"/>
            </w:tcBorders>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401(k)</w:t>
            </w:r>
            <w:r>
              <w:rPr>
                <w:rFonts w:ascii="Times New Roman" w:cs="Times New Roman" w:eastAsia="Times New Roman" w:hAnsi="Times New Roman"/>
                <w:sz w:val="21"/>
                <w:szCs w:val="21"/>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6"/>
              <w:spacing w:after="0"/>
              <w:rPr>
                <w:sz w:val="20"/>
                <w:szCs w:val="20"/>
                <w:color w:val="auto"/>
              </w:rPr>
            </w:pPr>
            <w:r>
              <w:rPr>
                <w:rFonts w:ascii="Times New Roman" w:cs="Times New Roman" w:eastAsia="Times New Roman" w:hAnsi="Times New Roman"/>
                <w:sz w:val="17"/>
                <w:szCs w:val="17"/>
                <w:color w:val="0000FF"/>
                <w:w w:val="99"/>
              </w:rPr>
              <w:t>6,302</w:t>
            </w:r>
          </w:p>
        </w:tc>
        <w:tc>
          <w:tcPr>
            <w:tcW w:w="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409A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w w:val="85"/>
              </w:rPr>
              <w:t>Plan</w:t>
            </w:r>
            <w:r>
              <w:rPr>
                <w:rFonts w:ascii="Times New Roman" w:cs="Times New Roman" w:eastAsia="Times New Roman" w:hAnsi="Times New Roman"/>
                <w:sz w:val="21"/>
                <w:szCs w:val="21"/>
                <w:color w:val="008000"/>
                <w:w w:val="85"/>
                <w:vertAlign w:val="superscript"/>
              </w:rPr>
              <w:t>(5)</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vMerge w:val="continue"/>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6"/>
              <w:spacing w:after="0"/>
              <w:rPr>
                <w:sz w:val="20"/>
                <w:szCs w:val="20"/>
                <w:color w:val="auto"/>
              </w:rPr>
            </w:pPr>
            <w:r>
              <w:rPr>
                <w:rFonts w:ascii="Times New Roman" w:cs="Times New Roman" w:eastAsia="Times New Roman" w:hAnsi="Times New Roman"/>
                <w:sz w:val="17"/>
                <w:szCs w:val="17"/>
                <w:color w:val="0000FF"/>
                <w:w w:val="98"/>
              </w:rPr>
              <w:t>10,042</w:t>
            </w:r>
          </w:p>
        </w:tc>
        <w:tc>
          <w:tcPr>
            <w:tcW w:w="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409A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w w:val="85"/>
              </w:rPr>
              <w:t>Plan</w:t>
            </w:r>
            <w:r>
              <w:rPr>
                <w:rFonts w:ascii="Times New Roman" w:cs="Times New Roman" w:eastAsia="Times New Roman" w:hAnsi="Times New Roman"/>
                <w:sz w:val="21"/>
                <w:szCs w:val="21"/>
                <w:color w:val="008000"/>
                <w:w w:val="85"/>
                <w:vertAlign w:val="superscript"/>
              </w:rPr>
              <w:t>(5)</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vMerge w:val="continue"/>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0" w:type="dxa"/>
            <w:vAlign w:val="bottom"/>
            <w:gridSpan w:val="11"/>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10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52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1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1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w w:val="99"/>
              </w:rPr>
              <w:t>of Shares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115,313</w:t>
            </w: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ind w:left="1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44.9638</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03/17/2027</w:t>
            </w:r>
          </w:p>
        </w:tc>
        <w:tc>
          <w:tcPr>
            <w:tcW w:w="580" w:type="dxa"/>
            <w:vAlign w:val="bottom"/>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color w:val="0000FF"/>
              </w:rPr>
              <w:t>115,313</w:t>
            </w:r>
          </w:p>
        </w:tc>
        <w:tc>
          <w:tcPr>
            <w:tcW w:w="220" w:type="dxa"/>
            <w:vAlign w:val="bottom"/>
          </w:tcPr>
          <w:p>
            <w:pPr>
              <w:spacing w:after="0"/>
              <w:rPr>
                <w:sz w:val="11"/>
                <w:szCs w:val="11"/>
                <w:color w:val="auto"/>
              </w:rPr>
            </w:pPr>
          </w:p>
        </w:tc>
        <w:tc>
          <w:tcPr>
            <w:tcW w:w="5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ectPr>
          <w:pgSz w:w="11900" w:h="16838" w:orient="portrait"/>
          <w:cols w:equalWidth="0" w:num="1">
            <w:col w:w="11080"/>
          </w:cols>
          <w:pgMar w:left="460" w:top="216" w:right="359" w:bottom="2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4180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4180205"/>
                    </a:xfrm>
                    <a:prstGeom prst="rect">
                      <a:avLst/>
                    </a:prstGeom>
                    <a:noFill/>
                  </pic:spPr>
                </pic:pic>
              </a:graphicData>
            </a:graphic>
          </wp:anchor>
        </w:drawing>
        <w:t>Table II - Derivative Securities Acquired, Disposed of, or Beneficially Owned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70.656</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03/16/2028</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125,000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134.7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09/24/2031</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125,000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62,500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163.35</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03/17/2033</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62,500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62,500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163.61</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06/09/2033</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62,500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ind w:right="24"/>
              <w:spacing w:after="0"/>
              <w:rPr>
                <w:sz w:val="20"/>
                <w:szCs w:val="20"/>
                <w:color w:val="auto"/>
              </w:rPr>
            </w:pPr>
            <w:r>
              <w:rPr>
                <w:rFonts w:ascii="Times New Roman" w:cs="Times New Roman" w:eastAsia="Times New Roman" w:hAnsi="Times New Roman"/>
                <w:sz w:val="13"/>
                <w:szCs w:val="13"/>
                <w:color w:val="0000FF"/>
                <w:w w:val="92"/>
              </w:rPr>
              <w:t>05/27/2026</w:t>
            </w:r>
            <w:r>
              <w:rPr>
                <w:rFonts w:ascii="Times New Roman" w:cs="Times New Roman" w:eastAsia="Times New Roman" w:hAnsi="Times New Roman"/>
                <w:sz w:val="21"/>
                <w:szCs w:val="21"/>
                <w:color w:val="008000"/>
                <w:w w:val="92"/>
                <w:vertAlign w:val="superscript"/>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256.01</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05/27/2026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10,000</w:t>
            </w:r>
          </w:p>
        </w:tc>
        <w:tc>
          <w:tcPr>
            <w:tcW w:w="3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03/14/2035</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10,000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Stock)</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gifted by the Reporting Person to trusts for the benefit of the Reporting Person's immediate family members and whose Trustee is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Mendelson International Corporation whose stock is owned solely by the Reporting Person and Victor Mendelson, the brother of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EAM Management Limited Partners, a partnership whose sole general partner is a corporation controlled by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benefit of the Reporting Person by the HEICO Corporation 401(k), based on a plan statement dated May 26, 2026.</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Reporting Person by the HEICO Leadership Compensation Plan (409A Plan).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exercisable at 20% per year over five years from the date of grant.</w:t>
      </w:r>
    </w:p>
    <w:p>
      <w:pPr>
        <w:spacing w:after="0" w:line="41" w:lineRule="exact"/>
        <w:rPr>
          <w:rFonts w:ascii="Times New Roman" w:cs="Times New Roman" w:eastAsia="Times New Roman" w:hAnsi="Times New Roman"/>
          <w:sz w:val="13"/>
          <w:szCs w:val="13"/>
          <w:color w:val="008000"/>
        </w:rPr>
      </w:pPr>
    </w:p>
    <w:p>
      <w:pPr>
        <w:ind w:left="20" w:right="18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tranche (20%) of performance-based stock options originally granted on March 14, 2025. Vesting occurred upon certification by the Compensation Committee on May 27, 2026 that the applicable performance conditions for the first measurement interval were achieved.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A. Mendelson</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05/29/2026</w:t>
            </w: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31"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31083" TargetMode="External"/><Relationship Id="rId14" Type="http://schemas.openxmlformats.org/officeDocument/2006/relationships/hyperlink" Target="http://www.sec.gov/cgi-bin/browse-edgar?action=getcompany&amp;CIK=0000046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2026-05-29T17:50:50Z</dcterms:created>
  <dcterms:modified xsi:type="dcterms:W3CDTF">2026-05-29T17:50:50Z</dcterms:modified>
</cp:coreProperties>
</file>