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Date of Report (Date of earliest event Reported): March 13, 2026</w:t>
      </w:r>
    </w:p>
    <w:p>
      <w:pPr>
        <w:spacing w:after="0" w:line="1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HEICO CORPORATION</w:t>
      </w:r>
    </w:p>
    <w:p>
      <w:pPr>
        <w:spacing w:after="0" w:line="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120"/>
          </w:cols>
          <w:pgMar w:left="320" w:top="990" w:right="459" w:bottom="1440" w:gutter="0" w:footer="0" w:header="0"/>
        </w:sectPr>
      </w:pPr>
    </w:p>
    <w:p>
      <w:pPr>
        <w:spacing w:after="0" w:line="12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9"/>
          <w:szCs w:val="19"/>
          <w:b w:val="1"/>
          <w:bCs w:val="1"/>
          <w:color w:val="auto"/>
        </w:rPr>
        <w:t>001-04604</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65-0341002</w:t>
      </w:r>
    </w:p>
    <w:p>
      <w:pPr>
        <w:spacing w:after="0" w:line="51" w:lineRule="exact"/>
        <w:rPr>
          <w:sz w:val="24"/>
          <w:szCs w:val="24"/>
          <w:color w:val="auto"/>
        </w:rPr>
      </w:pPr>
    </w:p>
    <w:p>
      <w:pPr>
        <w:sectPr>
          <w:pgSz w:w="11900" w:h="16838" w:orient="portrait"/>
          <w:cols w:equalWidth="0" w:num="3">
            <w:col w:w="4460" w:space="720"/>
            <w:col w:w="3000" w:space="720"/>
            <w:col w:w="2220"/>
          </w:cols>
          <w:pgMar w:left="320" w:top="990" w:right="45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00" w:space="720"/>
            <w:col w:w="3080"/>
          </w:cols>
          <w:pgMar w:left="320" w:top="990" w:right="459" w:bottom="1440" w:gutter="0" w:footer="0" w:header="0"/>
          <w:type w:val="continuous"/>
        </w:sectPr>
      </w:pPr>
    </w:p>
    <w:p>
      <w:pPr>
        <w:spacing w:after="0" w:line="3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3000 Taft Street, Hollywood, Florida 33021</w:t>
      </w:r>
    </w:p>
    <w:p>
      <w:pPr>
        <w:spacing w:after="0" w:line="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3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(954) 987-4000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ectPr>
          <w:pgSz w:w="11900" w:h="16838" w:orient="portrait"/>
          <w:cols w:equalWidth="0" w:num="1">
            <w:col w:w="11120"/>
          </w:cols>
          <w:pgMar w:left="320" w:top="990" w:right="459" w:bottom="1440" w:gutter="0" w:footer="0" w:header="0"/>
          <w:type w:val="continuous"/>
        </w:sectPr>
      </w:pPr>
    </w:p>
    <w:p>
      <w:pPr>
        <w:spacing w:after="0" w:line="18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ind w:left="720" w:hanging="267"/>
        <w:spacing w:after="0"/>
        <w:tabs>
          <w:tab w:leader="none" w:pos="72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33" w:lineRule="exact"/>
        <w:rPr>
          <w:rFonts w:ascii="MS PGothic" w:cs="MS PGothic" w:eastAsia="MS PGothic" w:hAnsi="MS PGothic"/>
          <w:sz w:val="20"/>
          <w:szCs w:val="20"/>
          <w:color w:val="auto"/>
          <w:highlight w:val="black"/>
        </w:rPr>
      </w:pPr>
    </w:p>
    <w:p>
      <w:pPr>
        <w:ind w:left="720" w:hanging="267"/>
        <w:spacing w:after="0"/>
        <w:tabs>
          <w:tab w:leader="none" w:pos="7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6" w:lineRule="exact"/>
        <w:rPr>
          <w:rFonts w:ascii="MS PGothic" w:cs="MS PGothic" w:eastAsia="MS PGothic" w:hAnsi="MS PGothic"/>
          <w:sz w:val="20"/>
          <w:szCs w:val="20"/>
          <w:color w:val="auto"/>
        </w:rPr>
      </w:pPr>
    </w:p>
    <w:p>
      <w:pPr>
        <w:ind w:left="720" w:hanging="267"/>
        <w:spacing w:after="0"/>
        <w:tabs>
          <w:tab w:leader="none" w:pos="7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6" w:lineRule="exact"/>
        <w:rPr>
          <w:rFonts w:ascii="MS PGothic" w:cs="MS PGothic" w:eastAsia="MS PGothic" w:hAnsi="MS PGothic"/>
          <w:sz w:val="20"/>
          <w:szCs w:val="20"/>
          <w:color w:val="auto"/>
        </w:rPr>
      </w:pPr>
    </w:p>
    <w:p>
      <w:pPr>
        <w:ind w:left="720" w:hanging="267"/>
        <w:spacing w:after="0"/>
        <w:tabs>
          <w:tab w:leader="none" w:pos="7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3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Trading</w:t>
            </w:r>
          </w:p>
        </w:tc>
        <w:tc>
          <w:tcPr>
            <w:tcW w:w="4000" w:type="dxa"/>
            <w:vAlign w:val="bottom"/>
          </w:tcPr>
          <w:p>
            <w:pPr>
              <w:spacing w:after="0"/>
              <w:rPr>
                <w:sz w:val="18"/>
                <w:szCs w:val="18"/>
                <w:color w:val="auto"/>
              </w:rPr>
            </w:pPr>
          </w:p>
        </w:tc>
      </w:tr>
      <w:tr>
        <w:trPr>
          <w:trHeight w:val="243"/>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100" w:type="dxa"/>
            <w:vAlign w:val="bottom"/>
          </w:tcPr>
          <w:p>
            <w:pPr>
              <w:spacing w:after="0"/>
              <w:rPr>
                <w:sz w:val="21"/>
                <w:szCs w:val="21"/>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5"/>
        </w:trPr>
        <w:tc>
          <w:tcPr>
            <w:tcW w:w="4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$.01 par value per share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HEI</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4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A Common Stock, $.01 par value per share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HEI.A</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55" w:lineRule="exact"/>
        <w:rPr>
          <w:sz w:val="24"/>
          <w:szCs w:val="24"/>
          <w:color w:val="auto"/>
        </w:rPr>
      </w:pPr>
    </w:p>
    <w:p>
      <w:pPr>
        <w:ind w:right="740"/>
        <w:spacing w:after="0" w:line="283"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or Rule 12b-2 of the Securities Exchange Act of 1934 (§240.12b-2).</w:t>
      </w:r>
    </w:p>
    <w:p>
      <w:pPr>
        <w:spacing w:after="0" w:line="141"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color w:val="auto"/>
          <w:highlight w:val="black"/>
        </w:rPr>
        <w:t>☐</w:t>
      </w:r>
    </w:p>
    <w:p>
      <w:pPr>
        <w:spacing w:after="0" w:line="288" w:lineRule="exact"/>
        <w:rPr>
          <w:sz w:val="24"/>
          <w:szCs w:val="24"/>
          <w:color w:val="auto"/>
        </w:rPr>
      </w:pPr>
    </w:p>
    <w:p>
      <w:pPr>
        <w:ind w:right="60"/>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1190625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90" w:right="45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60" w:lineRule="exact"/>
        <w:rPr>
          <w:sz w:val="20"/>
          <w:szCs w:val="20"/>
          <w:color w:val="auto"/>
        </w:rPr>
      </w:pPr>
    </w:p>
    <w:p>
      <w:pPr>
        <w:ind w:right="200" w:firstLine="648"/>
        <w:spacing w:after="0" w:line="295" w:lineRule="auto"/>
        <w:rPr>
          <w:sz w:val="20"/>
          <w:szCs w:val="20"/>
          <w:color w:val="auto"/>
        </w:rPr>
      </w:pPr>
      <w:r>
        <w:rPr>
          <w:rFonts w:ascii="Times New Roman" w:cs="Times New Roman" w:eastAsia="Times New Roman" w:hAnsi="Times New Roman"/>
          <w:sz w:val="19"/>
          <w:szCs w:val="19"/>
          <w:color w:val="auto"/>
        </w:rPr>
        <w:t>HEICO Corporation (the "Company") held its Annual Meeting of Shareholders on Friday, March 13, 2026. The shareholders voted on three proposals, each of which is described in more detail in the Company’s definitive proxy statement filed on January 30, 2026.</w:t>
      </w:r>
    </w:p>
    <w:p>
      <w:pPr>
        <w:spacing w:after="0" w:line="178"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20"/>
          <w:szCs w:val="20"/>
          <w:color w:val="auto"/>
        </w:rPr>
        <w:t>Only holders of record of HEICO Common Stock, $0.01 par value per share (“Common Stock”), and Class A Common Stock, $0.01 par value per share (“Class A Common Stock”), as of the close of business on January 16, 2026 (the record date) were entitled to vote at the Annual Meeting. On that date, there were outstanding 55,142,805 shares of Common Stock, each entitled to one vote, and 84,266,714 shares of Class A Common Stock, each entitled to 1/10th vote per share.</w:t>
      </w:r>
    </w:p>
    <w:p>
      <w:pPr>
        <w:spacing w:after="0" w:line="19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Proposal 1:</w:t>
      </w:r>
      <w:r>
        <w:rPr>
          <w:sz w:val="20"/>
          <w:szCs w:val="20"/>
          <w:color w:val="auto"/>
        </w:rPr>
        <w:tab/>
      </w:r>
      <w:r>
        <w:rPr>
          <w:rFonts w:ascii="Times New Roman" w:cs="Times New Roman" w:eastAsia="Times New Roman" w:hAnsi="Times New Roman"/>
          <w:sz w:val="19"/>
          <w:szCs w:val="19"/>
          <w:b w:val="1"/>
          <w:bCs w:val="1"/>
          <w:color w:val="auto"/>
        </w:rPr>
        <w:t>Proposal to Elect Directors</w:t>
      </w:r>
    </w:p>
    <w:p>
      <w:pPr>
        <w:spacing w:after="0" w:line="260" w:lineRule="exact"/>
        <w:rPr>
          <w:sz w:val="20"/>
          <w:szCs w:val="20"/>
          <w:color w:val="auto"/>
        </w:rPr>
      </w:pPr>
    </w:p>
    <w:p>
      <w:pPr>
        <w:ind w:right="500" w:firstLine="648"/>
        <w:spacing w:after="0" w:line="269" w:lineRule="auto"/>
        <w:rPr>
          <w:sz w:val="20"/>
          <w:szCs w:val="20"/>
          <w:color w:val="auto"/>
        </w:rPr>
      </w:pPr>
      <w:r>
        <w:rPr>
          <w:rFonts w:ascii="Times New Roman" w:cs="Times New Roman" w:eastAsia="Times New Roman" w:hAnsi="Times New Roman"/>
          <w:sz w:val="20"/>
          <w:szCs w:val="20"/>
          <w:color w:val="auto"/>
        </w:rPr>
        <w:t>The Company’s shareholders elected all nine director nominees to serve until the next annual meeting of shareholders or until a successor is elected and qualified. The result of the vote is set forth in the table below:</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820" w:type="dxa"/>
            <w:vAlign w:val="bottom"/>
            <w:gridSpan w:val="2"/>
          </w:tcPr>
          <w:p>
            <w:pPr>
              <w:ind w:left="1000"/>
              <w:spacing w:after="0"/>
              <w:rPr>
                <w:sz w:val="20"/>
                <w:szCs w:val="20"/>
                <w:color w:val="auto"/>
              </w:rPr>
            </w:pPr>
            <w:r>
              <w:rPr>
                <w:rFonts w:ascii="Times New Roman" w:cs="Times New Roman" w:eastAsia="Times New Roman" w:hAnsi="Times New Roman"/>
                <w:sz w:val="20"/>
                <w:szCs w:val="20"/>
                <w:b w:val="1"/>
                <w:bCs w:val="1"/>
                <w:color w:val="auto"/>
              </w:rPr>
              <w:t>Director</w:t>
            </w:r>
          </w:p>
        </w:tc>
        <w:tc>
          <w:tcPr>
            <w:tcW w:w="2120" w:type="dxa"/>
            <w:vAlign w:val="bottom"/>
            <w:gridSpan w:val="2"/>
          </w:tcPr>
          <w:p>
            <w:pPr>
              <w:ind w:left="860"/>
              <w:spacing w:after="0"/>
              <w:rPr>
                <w:sz w:val="20"/>
                <w:szCs w:val="20"/>
                <w:color w:val="auto"/>
              </w:rPr>
            </w:pPr>
            <w:r>
              <w:rPr>
                <w:rFonts w:ascii="Times New Roman" w:cs="Times New Roman" w:eastAsia="Times New Roman" w:hAnsi="Times New Roman"/>
                <w:sz w:val="20"/>
                <w:szCs w:val="20"/>
                <w:b w:val="1"/>
                <w:bCs w:val="1"/>
                <w:color w:val="auto"/>
              </w:rPr>
              <w:t>For</w:t>
            </w:r>
          </w:p>
        </w:tc>
        <w:tc>
          <w:tcPr>
            <w:tcW w:w="2120" w:type="dxa"/>
            <w:vAlign w:val="bottom"/>
            <w:gridSpan w:val="2"/>
          </w:tcPr>
          <w:p>
            <w:pPr>
              <w:ind w:left="680"/>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2080" w:type="dxa"/>
            <w:vAlign w:val="bottom"/>
            <w:gridSpan w:val="2"/>
          </w:tcPr>
          <w:p>
            <w:pPr>
              <w:ind w:left="660"/>
              <w:spacing w:after="0"/>
              <w:rPr>
                <w:sz w:val="20"/>
                <w:szCs w:val="20"/>
                <w:color w:val="auto"/>
              </w:rPr>
            </w:pPr>
            <w:r>
              <w:rPr>
                <w:rFonts w:ascii="Times New Roman" w:cs="Times New Roman" w:eastAsia="Times New Roman" w:hAnsi="Times New Roman"/>
                <w:sz w:val="20"/>
                <w:szCs w:val="20"/>
                <w:b w:val="1"/>
                <w:bCs w:val="1"/>
                <w:color w:val="auto"/>
              </w:rPr>
              <w:t>Abstain</w:t>
            </w:r>
          </w:p>
        </w:tc>
        <w:tc>
          <w:tcPr>
            <w:tcW w:w="2100" w:type="dxa"/>
            <w:vAlign w:val="bottom"/>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Broker Non-Votes</w:t>
            </w: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37"/>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57"/>
        </w:trPr>
        <w:tc>
          <w:tcPr>
            <w:tcW w:w="2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Nanda Kumar Cheruvatath</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53,436,242</w:t>
            </w:r>
          </w:p>
        </w:tc>
        <w:tc>
          <w:tcPr>
            <w:tcW w:w="12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454,904</w:t>
            </w:r>
          </w:p>
        </w:tc>
        <w:tc>
          <w:tcPr>
            <w:tcW w:w="12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42,431</w:t>
            </w:r>
          </w:p>
        </w:tc>
        <w:tc>
          <w:tcPr>
            <w:tcW w:w="8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4,015,763</w:t>
            </w:r>
          </w:p>
        </w:tc>
      </w:tr>
      <w:tr>
        <w:trPr>
          <w:trHeight w:val="266"/>
        </w:trPr>
        <w:tc>
          <w:tcPr>
            <w:tcW w:w="28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Thomas M. Culligan</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52,983,400</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906,704</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43,473</w:t>
            </w:r>
          </w:p>
        </w:tc>
        <w:tc>
          <w:tcPr>
            <w:tcW w:w="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4,015,763</w:t>
            </w:r>
          </w:p>
        </w:tc>
      </w:tr>
      <w:tr>
        <w:trPr>
          <w:trHeight w:val="274"/>
        </w:trPr>
        <w:tc>
          <w:tcPr>
            <w:tcW w:w="2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Carol F. Fine</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53,241,774</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649,975</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41,828</w:t>
            </w:r>
          </w:p>
        </w:tc>
        <w:tc>
          <w:tcPr>
            <w:tcW w:w="80" w:type="dxa"/>
            <w:vAlign w:val="bottom"/>
            <w:shd w:val="clear" w:color="auto" w:fill="CCEEFF"/>
          </w:tcPr>
          <w:p>
            <w:pPr>
              <w:spacing w:after="0"/>
              <w:rPr>
                <w:sz w:val="23"/>
                <w:szCs w:val="23"/>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4,015,763</w:t>
            </w:r>
          </w:p>
        </w:tc>
      </w:tr>
      <w:tr>
        <w:trPr>
          <w:trHeight w:val="266"/>
        </w:trPr>
        <w:tc>
          <w:tcPr>
            <w:tcW w:w="28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Adolfo Henriques</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52,526,622</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1,354,900</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52,055</w:t>
            </w:r>
          </w:p>
        </w:tc>
        <w:tc>
          <w:tcPr>
            <w:tcW w:w="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4,015,763</w:t>
            </w:r>
          </w:p>
        </w:tc>
      </w:tr>
      <w:tr>
        <w:trPr>
          <w:trHeight w:val="274"/>
        </w:trPr>
        <w:tc>
          <w:tcPr>
            <w:tcW w:w="2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Mark H. Hildebrandt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39,673,122</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14,173,077</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87,378</w:t>
            </w:r>
          </w:p>
        </w:tc>
        <w:tc>
          <w:tcPr>
            <w:tcW w:w="80" w:type="dxa"/>
            <w:vAlign w:val="bottom"/>
            <w:shd w:val="clear" w:color="auto" w:fill="CCEEFF"/>
          </w:tcPr>
          <w:p>
            <w:pPr>
              <w:spacing w:after="0"/>
              <w:rPr>
                <w:sz w:val="23"/>
                <w:szCs w:val="23"/>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4,015,763</w:t>
            </w:r>
          </w:p>
        </w:tc>
      </w:tr>
      <w:tr>
        <w:trPr>
          <w:trHeight w:val="266"/>
        </w:trPr>
        <w:tc>
          <w:tcPr>
            <w:tcW w:w="28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Eric A. Mendelson</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52,061,719</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1,838,806</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33,052</w:t>
            </w:r>
          </w:p>
        </w:tc>
        <w:tc>
          <w:tcPr>
            <w:tcW w:w="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4,015,763</w:t>
            </w:r>
          </w:p>
        </w:tc>
      </w:tr>
      <w:tr>
        <w:trPr>
          <w:trHeight w:val="274"/>
        </w:trPr>
        <w:tc>
          <w:tcPr>
            <w:tcW w:w="2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Victor H. Mendelson</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52,061,640</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1,841,981</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29,956</w:t>
            </w:r>
          </w:p>
        </w:tc>
        <w:tc>
          <w:tcPr>
            <w:tcW w:w="80" w:type="dxa"/>
            <w:vAlign w:val="bottom"/>
            <w:shd w:val="clear" w:color="auto" w:fill="CCEEFF"/>
          </w:tcPr>
          <w:p>
            <w:pPr>
              <w:spacing w:after="0"/>
              <w:rPr>
                <w:sz w:val="23"/>
                <w:szCs w:val="23"/>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4,015,763</w:t>
            </w:r>
          </w:p>
        </w:tc>
      </w:tr>
      <w:tr>
        <w:trPr>
          <w:trHeight w:val="266"/>
        </w:trPr>
        <w:tc>
          <w:tcPr>
            <w:tcW w:w="28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Julie Neitzel</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53,033,096</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857,678</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42,803</w:t>
            </w:r>
          </w:p>
        </w:tc>
        <w:tc>
          <w:tcPr>
            <w:tcW w:w="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4,015,763</w:t>
            </w:r>
          </w:p>
        </w:tc>
      </w:tr>
      <w:tr>
        <w:trPr>
          <w:trHeight w:val="274"/>
        </w:trPr>
        <w:tc>
          <w:tcPr>
            <w:tcW w:w="2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Dr. Alan Schriesheim</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39,445,974</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14,444,232</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43,371</w:t>
            </w:r>
          </w:p>
        </w:tc>
        <w:tc>
          <w:tcPr>
            <w:tcW w:w="80" w:type="dxa"/>
            <w:vAlign w:val="bottom"/>
            <w:shd w:val="clear" w:color="auto" w:fill="CCEEFF"/>
          </w:tcPr>
          <w:p>
            <w:pPr>
              <w:spacing w:after="0"/>
              <w:rPr>
                <w:sz w:val="23"/>
                <w:szCs w:val="23"/>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4,015,763</w:t>
            </w:r>
          </w:p>
        </w:tc>
      </w:tr>
    </w:tbl>
    <w:p>
      <w:pPr>
        <w:spacing w:after="0" w:line="200" w:lineRule="exact"/>
        <w:rPr>
          <w:sz w:val="20"/>
          <w:szCs w:val="20"/>
          <w:color w:val="auto"/>
        </w:rPr>
      </w:pPr>
    </w:p>
    <w:p>
      <w:pPr>
        <w:spacing w:after="0" w:line="34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Proposal 2:</w:t>
      </w:r>
      <w:r>
        <w:rPr>
          <w:sz w:val="20"/>
          <w:szCs w:val="20"/>
          <w:color w:val="auto"/>
        </w:rPr>
        <w:tab/>
      </w:r>
      <w:r>
        <w:rPr>
          <w:rFonts w:ascii="Times New Roman" w:cs="Times New Roman" w:eastAsia="Times New Roman" w:hAnsi="Times New Roman"/>
          <w:sz w:val="19"/>
          <w:szCs w:val="19"/>
          <w:b w:val="1"/>
          <w:bCs w:val="1"/>
          <w:color w:val="auto"/>
        </w:rPr>
        <w:t>Advisory Vote on Executive Compensation</w:t>
      </w:r>
    </w:p>
    <w:p>
      <w:pPr>
        <w:spacing w:after="0" w:line="260" w:lineRule="exact"/>
        <w:rPr>
          <w:sz w:val="20"/>
          <w:szCs w:val="20"/>
          <w:color w:val="auto"/>
        </w:rPr>
      </w:pPr>
    </w:p>
    <w:p>
      <w:pPr>
        <w:ind w:right="200" w:firstLine="194"/>
        <w:spacing w:after="0" w:line="269" w:lineRule="auto"/>
        <w:rPr>
          <w:sz w:val="20"/>
          <w:szCs w:val="20"/>
          <w:color w:val="auto"/>
        </w:rPr>
      </w:pPr>
      <w:r>
        <w:rPr>
          <w:rFonts w:ascii="Times New Roman" w:cs="Times New Roman" w:eastAsia="Times New Roman" w:hAnsi="Times New Roman"/>
          <w:sz w:val="20"/>
          <w:szCs w:val="20"/>
          <w:color w:val="auto"/>
        </w:rPr>
        <w:t>The Company’s shareholders held a non-binding, advisory vote on executive compensation. The result of the vote is set forth in the table below:</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20" w:type="dxa"/>
            <w:vAlign w:val="bottom"/>
          </w:tcPr>
          <w:p>
            <w:pPr>
              <w:spacing w:after="0"/>
              <w:rPr>
                <w:sz w:val="22"/>
                <w:szCs w:val="22"/>
                <w:color w:val="auto"/>
              </w:rPr>
            </w:pP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For</w:t>
            </w: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298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20" w:type="dxa"/>
            <w:vAlign w:val="bottom"/>
            <w:vMerge w:val="restart"/>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 w:type="dxa"/>
            <w:vAlign w:val="bottom"/>
            <w:vMerge w:val="continue"/>
          </w:tcPr>
          <w:p>
            <w:pPr>
              <w:spacing w:after="0"/>
              <w:rPr>
                <w:sz w:val="22"/>
                <w:szCs w:val="22"/>
                <w:color w:val="auto"/>
              </w:rPr>
            </w:pPr>
          </w:p>
        </w:tc>
        <w:tc>
          <w:tcPr>
            <w:tcW w:w="246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20"/>
                <w:szCs w:val="20"/>
                <w:color w:val="auto"/>
              </w:rPr>
              <w:t>48,957,609</w:t>
            </w:r>
          </w:p>
        </w:tc>
        <w:tc>
          <w:tcPr>
            <w:tcW w:w="100" w:type="dxa"/>
            <w:vAlign w:val="bottom"/>
            <w:shd w:val="clear" w:color="auto" w:fill="CCEEFF"/>
          </w:tcPr>
          <w:p>
            <w:pPr>
              <w:spacing w:after="0"/>
              <w:rPr>
                <w:sz w:val="22"/>
                <w:szCs w:val="22"/>
                <w:color w:val="auto"/>
              </w:rPr>
            </w:pPr>
          </w:p>
        </w:tc>
        <w:tc>
          <w:tcPr>
            <w:tcW w:w="248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20"/>
                <w:szCs w:val="20"/>
                <w:color w:val="auto"/>
              </w:rPr>
              <w:t>4,907,408</w:t>
            </w:r>
          </w:p>
        </w:tc>
        <w:tc>
          <w:tcPr>
            <w:tcW w:w="120" w:type="dxa"/>
            <w:vAlign w:val="bottom"/>
            <w:shd w:val="clear" w:color="auto" w:fill="CCEEFF"/>
          </w:tcPr>
          <w:p>
            <w:pPr>
              <w:spacing w:after="0"/>
              <w:rPr>
                <w:sz w:val="22"/>
                <w:szCs w:val="22"/>
                <w:color w:val="auto"/>
              </w:rPr>
            </w:pPr>
          </w:p>
        </w:tc>
        <w:tc>
          <w:tcPr>
            <w:tcW w:w="246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20"/>
                <w:szCs w:val="20"/>
                <w:color w:val="auto"/>
              </w:rPr>
              <w:t>68,560</w:t>
            </w:r>
          </w:p>
        </w:tc>
        <w:tc>
          <w:tcPr>
            <w:tcW w:w="120" w:type="dxa"/>
            <w:vAlign w:val="bottom"/>
            <w:shd w:val="clear" w:color="auto" w:fill="CCEEFF"/>
          </w:tcPr>
          <w:p>
            <w:pPr>
              <w:spacing w:after="0"/>
              <w:rPr>
                <w:sz w:val="22"/>
                <w:szCs w:val="22"/>
                <w:color w:val="auto"/>
              </w:rPr>
            </w:pPr>
          </w:p>
        </w:tc>
        <w:tc>
          <w:tcPr>
            <w:tcW w:w="248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20"/>
                <w:szCs w:val="20"/>
                <w:color w:val="auto"/>
              </w:rPr>
              <w:t>4,015,763</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4"/>
        </w:trPr>
        <w:tc>
          <w:tcPr>
            <w:tcW w:w="5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Proposal 3:</w:t>
      </w:r>
      <w:r>
        <w:rPr>
          <w:sz w:val="20"/>
          <w:szCs w:val="20"/>
          <w:color w:val="auto"/>
        </w:rPr>
        <w:tab/>
      </w:r>
      <w:r>
        <w:rPr>
          <w:rFonts w:ascii="Times New Roman" w:cs="Times New Roman" w:eastAsia="Times New Roman" w:hAnsi="Times New Roman"/>
          <w:sz w:val="19"/>
          <w:szCs w:val="19"/>
          <w:b w:val="1"/>
          <w:bCs w:val="1"/>
          <w:color w:val="auto"/>
        </w:rPr>
        <w:t>Ratification of Independent Registered Public Accounting Firm</w:t>
      </w:r>
    </w:p>
    <w:p>
      <w:pPr>
        <w:spacing w:after="0" w:line="260" w:lineRule="exact"/>
        <w:rPr>
          <w:sz w:val="20"/>
          <w:szCs w:val="20"/>
          <w:color w:val="auto"/>
        </w:rPr>
      </w:pPr>
    </w:p>
    <w:p>
      <w:pPr>
        <w:ind w:right="800" w:firstLine="194"/>
        <w:spacing w:after="0" w:line="269" w:lineRule="auto"/>
        <w:rPr>
          <w:sz w:val="20"/>
          <w:szCs w:val="20"/>
          <w:color w:val="auto"/>
        </w:rPr>
      </w:pPr>
      <w:r>
        <w:rPr>
          <w:rFonts w:ascii="Times New Roman" w:cs="Times New Roman" w:eastAsia="Times New Roman" w:hAnsi="Times New Roman"/>
          <w:sz w:val="20"/>
          <w:szCs w:val="20"/>
          <w:color w:val="auto"/>
        </w:rPr>
        <w:t>The Company’s shareholders ratified the appointment of Deloitte &amp; Touche LLP as the Company’s independent registered public accounting firm for the fiscal year ending October 31, 2026. The result of the vote is set forth in the table below:</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2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For</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3840" w:type="dxa"/>
            <w:vAlign w:val="bottom"/>
            <w:gridSpan w:val="2"/>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20" w:type="dxa"/>
            <w:vAlign w:val="bottom"/>
            <w:vMerge w:val="restart"/>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0" w:type="dxa"/>
            <w:vAlign w:val="bottom"/>
            <w:vMerge w:val="continue"/>
          </w:tcPr>
          <w:p>
            <w:pPr>
              <w:spacing w:after="0"/>
              <w:rPr>
                <w:sz w:val="22"/>
                <w:szCs w:val="22"/>
                <w:color w:val="auto"/>
              </w:rPr>
            </w:pPr>
          </w:p>
        </w:tc>
        <w:tc>
          <w:tcPr>
            <w:tcW w:w="3320" w:type="dxa"/>
            <w:vAlign w:val="bottom"/>
            <w:shd w:val="clear" w:color="auto" w:fill="CCEEFF"/>
          </w:tcPr>
          <w:p>
            <w:pPr>
              <w:jc w:val="right"/>
              <w:ind w:right="1121"/>
              <w:spacing w:after="0"/>
              <w:rPr>
                <w:sz w:val="20"/>
                <w:szCs w:val="20"/>
                <w:color w:val="auto"/>
              </w:rPr>
            </w:pPr>
            <w:r>
              <w:rPr>
                <w:rFonts w:ascii="Times New Roman" w:cs="Times New Roman" w:eastAsia="Times New Roman" w:hAnsi="Times New Roman"/>
                <w:sz w:val="20"/>
                <w:szCs w:val="20"/>
                <w:color w:val="auto"/>
              </w:rPr>
              <w:t>56,478,611</w:t>
            </w:r>
          </w:p>
        </w:tc>
        <w:tc>
          <w:tcPr>
            <w:tcW w:w="100" w:type="dxa"/>
            <w:vAlign w:val="bottom"/>
            <w:shd w:val="clear" w:color="auto" w:fill="CCEEFF"/>
          </w:tcPr>
          <w:p>
            <w:pPr>
              <w:spacing w:after="0"/>
              <w:rPr>
                <w:sz w:val="22"/>
                <w:szCs w:val="22"/>
                <w:color w:val="auto"/>
              </w:rPr>
            </w:pPr>
          </w:p>
        </w:tc>
        <w:tc>
          <w:tcPr>
            <w:tcW w:w="3340" w:type="dxa"/>
            <w:vAlign w:val="bottom"/>
            <w:shd w:val="clear" w:color="auto" w:fill="CCEEFF"/>
          </w:tcPr>
          <w:p>
            <w:pPr>
              <w:jc w:val="right"/>
              <w:ind w:right="1161"/>
              <w:spacing w:after="0"/>
              <w:rPr>
                <w:sz w:val="20"/>
                <w:szCs w:val="20"/>
                <w:color w:val="auto"/>
              </w:rPr>
            </w:pPr>
            <w:r>
              <w:rPr>
                <w:rFonts w:ascii="Times New Roman" w:cs="Times New Roman" w:eastAsia="Times New Roman" w:hAnsi="Times New Roman"/>
                <w:sz w:val="20"/>
                <w:szCs w:val="20"/>
                <w:color w:val="auto"/>
              </w:rPr>
              <w:t>1,437,105</w:t>
            </w:r>
          </w:p>
        </w:tc>
        <w:tc>
          <w:tcPr>
            <w:tcW w:w="120" w:type="dxa"/>
            <w:vAlign w:val="bottom"/>
            <w:shd w:val="clear" w:color="auto" w:fill="CCEEFF"/>
          </w:tcPr>
          <w:p>
            <w:pPr>
              <w:spacing w:after="0"/>
              <w:rPr>
                <w:sz w:val="22"/>
                <w:szCs w:val="22"/>
                <w:color w:val="auto"/>
              </w:rPr>
            </w:pPr>
          </w:p>
        </w:tc>
        <w:tc>
          <w:tcPr>
            <w:tcW w:w="3320" w:type="dxa"/>
            <w:vAlign w:val="bottom"/>
            <w:shd w:val="clear" w:color="auto" w:fill="CCEEFF"/>
          </w:tcPr>
          <w:p>
            <w:pPr>
              <w:jc w:val="right"/>
              <w:ind w:right="1281"/>
              <w:spacing w:after="0"/>
              <w:rPr>
                <w:sz w:val="20"/>
                <w:szCs w:val="20"/>
                <w:color w:val="auto"/>
              </w:rPr>
            </w:pPr>
            <w:r>
              <w:rPr>
                <w:rFonts w:ascii="Times New Roman" w:cs="Times New Roman" w:eastAsia="Times New Roman" w:hAnsi="Times New Roman"/>
                <w:sz w:val="20"/>
                <w:szCs w:val="20"/>
                <w:color w:val="auto"/>
              </w:rPr>
              <w:t>33,624</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2"/>
        </w:trPr>
        <w:tc>
          <w:tcPr>
            <w:tcW w:w="5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ind w:left="442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0"/>
          <w:szCs w:val="20"/>
          <w:color w:val="auto"/>
        </w:rPr>
        <w:t>HEICO CORPORATION</w:t>
      </w:r>
    </w:p>
    <w:p>
      <w:pPr>
        <w:spacing w:after="0" w:line="189" w:lineRule="exact"/>
        <w:rPr>
          <w:sz w:val="20"/>
          <w:szCs w:val="20"/>
          <w:color w:val="auto"/>
        </w:rPr>
      </w:pPr>
    </w:p>
    <w:p>
      <w:pPr>
        <w:ind w:left="760"/>
        <w:spacing w:after="0"/>
        <w:tabs>
          <w:tab w:leader="none" w:pos="6280" w:val="left"/>
          <w:tab w:leader="none" w:pos="6780" w:val="left"/>
        </w:tabs>
        <w:rPr>
          <w:sz w:val="20"/>
          <w:szCs w:val="20"/>
          <w:color w:val="auto"/>
        </w:rPr>
      </w:pPr>
      <w:r>
        <w:rPr>
          <w:rFonts w:ascii="Times New Roman" w:cs="Times New Roman" w:eastAsia="Times New Roman" w:hAnsi="Times New Roman"/>
          <w:sz w:val="20"/>
          <w:szCs w:val="20"/>
          <w:color w:val="auto"/>
        </w:rPr>
        <w:t>Date: March 17,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CARLOS L. MACAU, JR.</w:t>
      </w:r>
    </w:p>
    <w:p>
      <w:pPr>
        <w:spacing w:after="0" w:line="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Carlos L. Macau, Jr.</w:t>
      </w:r>
    </w:p>
    <w:p>
      <w:pPr>
        <w:ind w:left="6800"/>
        <w:spacing w:after="0" w:line="211" w:lineRule="auto"/>
        <w:rPr>
          <w:sz w:val="20"/>
          <w:szCs w:val="20"/>
          <w:color w:val="auto"/>
        </w:rPr>
      </w:pPr>
      <w:r>
        <w:rPr>
          <w:rFonts w:ascii="Times New Roman" w:cs="Times New Roman" w:eastAsia="Times New Roman" w:hAnsi="Times New Roman"/>
          <w:sz w:val="20"/>
          <w:szCs w:val="20"/>
          <w:color w:val="auto"/>
        </w:rPr>
        <w:t>Executive Vice President - Chief Financial</w:t>
      </w:r>
    </w:p>
    <w:p>
      <w:pPr>
        <w:ind w:left="6800"/>
        <w:spacing w:after="0"/>
        <w:rPr>
          <w:sz w:val="20"/>
          <w:szCs w:val="20"/>
          <w:color w:val="auto"/>
        </w:rPr>
      </w:pPr>
      <w:r>
        <w:rPr>
          <w:rFonts w:ascii="Times New Roman" w:cs="Times New Roman" w:eastAsia="Times New Roman" w:hAnsi="Times New Roman"/>
          <w:sz w:val="20"/>
          <w:szCs w:val="20"/>
          <w:color w:val="auto"/>
        </w:rPr>
        <w:t>Officer and Treasurer</w:t>
      </w:r>
    </w:p>
    <w:sectPr>
      <w:pgSz w:w="11900" w:h="16838" w:orient="portrait"/>
      <w:cols w:equalWidth="0" w:num="1">
        <w:col w:w="11220"/>
      </w:cols>
      <w:pgMar w:left="320" w:top="88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2026-03-17T13:48:05Z</dcterms:created>
  <dcterms:modified xsi:type="dcterms:W3CDTF">2026-03-17T13:48:05Z</dcterms:modified>
</cp:coreProperties>
</file>