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HEICO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2,425,150.00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2,475,049.00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2,475,049.00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HEICO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3000 Taft St, Hollywood, FL 33021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660"/>
        <w:spacing w:after="0" w:line="253" w:lineRule="auto"/>
        <w:rPr>
          <w:sz w:val="20"/>
          <w:szCs w:val="20"/>
          <w:color w:val="auto"/>
        </w:rPr>
      </w:pPr>
      <w:r>
        <w:rPr>
          <w:rFonts w:ascii="Times New Roman" w:cs="Times New Roman" w:eastAsia="Times New Roman" w:hAnsi="Times New Roman"/>
          <w:sz w:val="21"/>
          <w:szCs w:val="21"/>
          <w:color w:val="auto"/>
        </w:rPr>
        <w:t>2,475,049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2,475,049 shares or 4.5% of the 55,148,527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2,425,150</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2,475,049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Senior Vice President and Associate General</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Counsel, Capital Research and Management</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540"/>
      </w:cols>
      <w:pgMar w:left="1440" w:top="11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2026-05-14T12:57:23Z</dcterms:created>
  <dcterms:modified xsi:type="dcterms:W3CDTF">2026-05-14T12:57:23Z</dcterms:modified>
</cp:coreProperties>
</file>