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February 25, 2026</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HEICO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9"/>
          <w:szCs w:val="19"/>
          <w:b w:val="1"/>
          <w:bCs w:val="1"/>
          <w:color w:val="auto"/>
        </w:rPr>
        <w:t>001-04604</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65-0341002</w:t>
      </w:r>
    </w:p>
    <w:p>
      <w:pPr>
        <w:spacing w:after="0" w:line="51" w:lineRule="exact"/>
        <w:rPr>
          <w:sz w:val="24"/>
          <w:szCs w:val="24"/>
          <w:color w:val="auto"/>
        </w:rPr>
      </w:pPr>
    </w:p>
    <w:p>
      <w:pPr>
        <w:sectPr>
          <w:pgSz w:w="11900" w:h="16838" w:orient="portrait"/>
          <w:cols w:equalWidth="0" w:num="3">
            <w:col w:w="4460" w:space="720"/>
            <w:col w:w="3000" w:space="720"/>
            <w:col w:w="2340"/>
          </w:cols>
          <w:pgMar w:left="320" w:top="1440"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27" w:lineRule="exact"/>
        <w:rPr>
          <w:sz w:val="24"/>
          <w:szCs w:val="24"/>
          <w:color w:val="auto"/>
        </w:rPr>
      </w:pPr>
    </w:p>
    <w:p>
      <w:pPr>
        <w:sectPr>
          <w:pgSz w:w="11900" w:h="16838" w:orient="portrait"/>
          <w:cols w:equalWidth="0" w:num="3">
            <w:col w:w="4000" w:space="720"/>
            <w:col w:w="2620" w:space="720"/>
            <w:col w:w="318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3000 Taft Street, Hollywood, Florida 33021</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(954) 987-4000</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85" w:lineRule="exact"/>
        <w:rPr>
          <w:sz w:val="24"/>
          <w:szCs w:val="24"/>
          <w:color w:val="auto"/>
        </w:rPr>
      </w:pPr>
    </w:p>
    <w:p>
      <w:pPr>
        <w:ind w:left="20" w:right="120"/>
        <w:spacing w:after="0"/>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ind w:left="720" w:hanging="267"/>
        <w:spacing w:after="0"/>
        <w:tabs>
          <w:tab w:leader="none" w:pos="7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3" w:lineRule="exact"/>
        <w:rPr>
          <w:rFonts w:ascii="MS PGothic" w:cs="MS PGothic" w:eastAsia="MS PGothic" w:hAnsi="MS PGothic"/>
          <w:sz w:val="20"/>
          <w:szCs w:val="20"/>
          <w:color w:val="auto"/>
          <w:highlight w:val="black"/>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5"/>
        </w:trPr>
        <w:tc>
          <w:tcPr>
            <w:tcW w:w="5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$.01 par value per share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HEI</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5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 per share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HEI.A</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69" w:lineRule="exact"/>
        <w:rPr>
          <w:sz w:val="24"/>
          <w:szCs w:val="24"/>
          <w:color w:val="auto"/>
        </w:rPr>
      </w:pPr>
    </w:p>
    <w:p>
      <w:pPr>
        <w:ind w:right="860"/>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or Rule 12b-2 of the Securities Exchange Act of 1934 (§240.12b-2).</w:t>
      </w:r>
    </w:p>
    <w:p>
      <w:pPr>
        <w:spacing w:after="0" w:line="12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301" w:lineRule="exact"/>
        <w:rPr>
          <w:sz w:val="24"/>
          <w:szCs w:val="24"/>
          <w:color w:val="auto"/>
        </w:rPr>
      </w:pPr>
    </w:p>
    <w:p>
      <w:pPr>
        <w:ind w:right="180"/>
        <w:spacing w:after="0" w:line="259"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right="60" w:firstLine="216"/>
        <w:spacing w:after="0" w:line="263" w:lineRule="auto"/>
        <w:rPr>
          <w:sz w:val="20"/>
          <w:szCs w:val="20"/>
          <w:color w:val="auto"/>
        </w:rPr>
      </w:pPr>
      <w:r>
        <w:rPr>
          <w:rFonts w:ascii="Times New Roman" w:cs="Times New Roman" w:eastAsia="Times New Roman" w:hAnsi="Times New Roman"/>
          <w:sz w:val="22"/>
          <w:szCs w:val="22"/>
          <w:color w:val="auto"/>
        </w:rPr>
        <w:t>On February 25, 2026, HEICO Corporation (the "Company") issued a press release announcing its results of operations for the three months ended January 31, 2026. A copy of the press release is furnished as Exhibit 99.1 to this Current Report on Form 8-K.</w:t>
      </w:r>
    </w:p>
    <w:p>
      <w:pPr>
        <w:spacing w:after="0" w:line="194" w:lineRule="exact"/>
        <w:rPr>
          <w:sz w:val="20"/>
          <w:szCs w:val="20"/>
          <w:color w:val="auto"/>
        </w:rPr>
      </w:pPr>
    </w:p>
    <w:p>
      <w:pPr>
        <w:ind w:right="120" w:firstLine="212"/>
        <w:spacing w:after="0" w:line="252" w:lineRule="auto"/>
        <w:rPr>
          <w:sz w:val="20"/>
          <w:szCs w:val="20"/>
          <w:color w:val="auto"/>
        </w:rPr>
      </w:pPr>
      <w:r>
        <w:rPr>
          <w:rFonts w:ascii="Times New Roman" w:cs="Times New Roman" w:eastAsia="Times New Roman" w:hAnsi="Times New Roman"/>
          <w:sz w:val="22"/>
          <w:szCs w:val="22"/>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 Exhibits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Exhibit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February 25, 2026</w:t>
            </w:r>
          </w:p>
        </w:tc>
        <w:tc>
          <w:tcPr>
            <w:tcW w:w="6460" w:type="dxa"/>
            <w:vAlign w:val="bottom"/>
          </w:tcPr>
          <w:p>
            <w:pPr>
              <w:spacing w:after="0"/>
              <w:rPr>
                <w:sz w:val="24"/>
                <w:szCs w:val="24"/>
                <w:color w:val="auto"/>
              </w:rPr>
            </w:pPr>
          </w:p>
        </w:tc>
      </w:tr>
      <w:tr>
        <w:trPr>
          <w:trHeight w:val="41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63"/>
        </w:trPr>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60" w:type="dxa"/>
            <w:vAlign w:val="bottom"/>
          </w:tcPr>
          <w:p>
            <w:pPr>
              <w:spacing w:after="0"/>
              <w:rPr>
                <w:sz w:val="14"/>
                <w:szCs w:val="14"/>
                <w:color w:val="auto"/>
              </w:rPr>
            </w:pPr>
          </w:p>
        </w:tc>
      </w:tr>
      <w:tr>
        <w:trPr>
          <w:trHeight w:val="1486"/>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ind w:left="436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HEICO CORPORATION</w:t>
      </w:r>
    </w:p>
    <w:p>
      <w:pPr>
        <w:spacing w:after="0" w:line="179" w:lineRule="exact"/>
        <w:rPr>
          <w:sz w:val="20"/>
          <w:szCs w:val="20"/>
          <w:color w:val="auto"/>
        </w:rPr>
      </w:pPr>
    </w:p>
    <w:p>
      <w:pPr>
        <w:ind w:left="300"/>
        <w:spacing w:after="0"/>
        <w:tabs>
          <w:tab w:leader="none" w:pos="6520" w:val="left"/>
          <w:tab w:leader="none" w:pos="7100" w:val="left"/>
        </w:tabs>
        <w:rPr>
          <w:sz w:val="20"/>
          <w:szCs w:val="20"/>
          <w:color w:val="auto"/>
        </w:rPr>
      </w:pPr>
      <w:r>
        <w:rPr>
          <w:rFonts w:ascii="Times New Roman" w:cs="Times New Roman" w:eastAsia="Times New Roman" w:hAnsi="Times New Roman"/>
          <w:sz w:val="22"/>
          <w:szCs w:val="22"/>
          <w:color w:val="auto"/>
        </w:rPr>
        <w:t>Date: February 25,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CARLOS L. MACAU, JR.</w:t>
      </w:r>
    </w:p>
    <w:p>
      <w:pPr>
        <w:spacing w:after="0" w:line="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Carlos L. Macau, Jr.</w:t>
      </w:r>
    </w:p>
    <w:p>
      <w:pPr>
        <w:ind w:left="7120"/>
        <w:spacing w:after="0" w:line="204" w:lineRule="auto"/>
        <w:rPr>
          <w:sz w:val="20"/>
          <w:szCs w:val="20"/>
          <w:color w:val="auto"/>
        </w:rPr>
      </w:pPr>
      <w:r>
        <w:rPr>
          <w:rFonts w:ascii="Times New Roman" w:cs="Times New Roman" w:eastAsia="Times New Roman" w:hAnsi="Times New Roman"/>
          <w:sz w:val="22"/>
          <w:szCs w:val="22"/>
          <w:color w:val="auto"/>
        </w:rPr>
        <w:t>Executive Vice President - Chief Financial</w:t>
      </w:r>
    </w:p>
    <w:p>
      <w:pPr>
        <w:spacing w:after="0" w:line="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Officer and Treasurer</w:t>
      </w:r>
    </w:p>
    <w:p>
      <w:pPr>
        <w:sectPr>
          <w:pgSz w:w="11900" w:h="16838" w:orient="portrait"/>
          <w:cols w:equalWidth="0" w:num="1">
            <w:col w:w="11160"/>
          </w:cols>
          <w:pgMar w:left="320" w:top="141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February 25, 2026</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Victor H. Mendelson (305) 374-1745 ext. 7590</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Carlos L. Macau, Jr. (954) 987-4000 ext. 7570</w:t>
      </w:r>
    </w:p>
    <w:p>
      <w:pPr>
        <w:spacing w:after="0" w:line="225" w:lineRule="exact"/>
        <w:rPr>
          <w:sz w:val="20"/>
          <w:szCs w:val="20"/>
          <w:color w:val="auto"/>
        </w:rPr>
      </w:pPr>
    </w:p>
    <w:p>
      <w:pPr>
        <w:jc w:val="center"/>
        <w:ind w:left="340" w:right="340"/>
        <w:spacing w:after="0" w:line="310" w:lineRule="auto"/>
        <w:rPr>
          <w:sz w:val="20"/>
          <w:szCs w:val="20"/>
          <w:color w:val="auto"/>
        </w:rPr>
      </w:pPr>
      <w:r>
        <w:rPr>
          <w:rFonts w:ascii="Arial" w:cs="Arial" w:eastAsia="Arial" w:hAnsi="Arial"/>
          <w:sz w:val="21"/>
          <w:szCs w:val="21"/>
          <w:b w:val="1"/>
          <w:bCs w:val="1"/>
          <w:color w:val="auto"/>
        </w:rPr>
        <w:t>HEICO CORPORATION REPORTS RECORD NET INCOME (UP 13%) AND STRONG INCREASES IN OPERATING INCOME (UP 15%) AND NET SALES (UP 14%) FOR THE FIRST QUARTER OF FISCAL 2026</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22"/>
          <w:szCs w:val="22"/>
          <w:color w:val="auto"/>
        </w:rPr>
        <w:t>HOLLYWOOD, FL and MIAMI, FL -- HEICO CORPORATION (NYSE: HEI.A) (NYSE: HEI) today reported an increase in net income of 13% to a record $190.2 million, or $1.35 per diluted share, in the first quarter of fiscal 2026, up from $168.0 million, or $1.20 per diluted share, in the first quarter of fiscal 2025.</w:t>
      </w:r>
    </w:p>
    <w:p>
      <w:pPr>
        <w:spacing w:after="0" w:line="191"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Net sales increased 14% to $1,178.6 million in the first quarter of fiscal 2026, up from $1,030.2 million in the first quarter of fiscal 2025. Operating income increased 15% to $259.9 million in the first quarter of fiscal 2026, up from $226.8 million in the first quarter of fiscal 2025. The Company's consolidated operating margin improved to 22.1% in the first quarter of fiscal 2026, up from 22.0% in the first quarter of fiscal 2025.</w:t>
      </w:r>
    </w:p>
    <w:p>
      <w:pPr>
        <w:spacing w:after="0" w:line="202" w:lineRule="exact"/>
        <w:rPr>
          <w:sz w:val="20"/>
          <w:szCs w:val="20"/>
          <w:color w:val="auto"/>
        </w:rPr>
      </w:pPr>
    </w:p>
    <w:p>
      <w:pPr>
        <w:ind w:right="40"/>
        <w:spacing w:after="0" w:line="310" w:lineRule="auto"/>
        <w:rPr>
          <w:sz w:val="20"/>
          <w:szCs w:val="20"/>
          <w:color w:val="auto"/>
        </w:rPr>
      </w:pPr>
      <w:r>
        <w:rPr>
          <w:rFonts w:ascii="Arial" w:cs="Arial" w:eastAsia="Arial" w:hAnsi="Arial"/>
          <w:sz w:val="21"/>
          <w:szCs w:val="21"/>
          <w:color w:val="auto"/>
        </w:rPr>
        <w:t>EBITDA increased 14% to $312.0 million in the first quarter of fiscal 2026, up from $273.9 million in the first quarter of fiscal 2025. See our reconciliation of net income attributable to HEICO to EBITDA at the end of this press release.</w:t>
      </w:r>
    </w:p>
    <w:p>
      <w:pPr>
        <w:spacing w:after="0" w:line="14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Net income attributable to HEICO in the first quarter of fiscal 2026 and 2025 were both favorably impacted by a discrete income tax benefit from stock option exercises. The benefit in the first quarter of fiscal 2026, net of noncontrolling interests, was $21.8 million, or 15 cents per diluted share, as compared to $26.5 million, or 19 cents per diluted share, in the first quarter of fiscal 2025.</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4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Eric A. Mendelson and Victor H. Mendelson, HEICO’s Co-Chairmen and Co-Chief Executive Officers, commented on the Company's first quarter results stating, "We are proud to report record quarterly net income, as well as increased operating income and net sales, principally driven by strong double-digit consolidated organic net sales growth, as well as the contributions from our fiscal 2025 and 2026 acquisitions. The strong organic growth reflects increased demand across all of the Flight Support Group’s product lines and for the Electronic Technologies Group's other electronics, aerospace and defense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240"/>
          </w:cols>
          <w:pgMar w:left="320" w:top="1421" w:right="339" w:bottom="1440" w:gutter="0" w:footer="0" w:header="0"/>
        </w:sectPr>
      </w:pPr>
    </w:p>
    <w:bookmarkStart w:id="4" w:name="page5"/>
    <w:bookmarkEnd w:id="4"/>
    <w:p>
      <w:pPr>
        <w:spacing w:after="0" w:line="238" w:lineRule="auto"/>
        <w:rPr>
          <w:sz w:val="20"/>
          <w:szCs w:val="20"/>
          <w:color w:val="auto"/>
        </w:rPr>
      </w:pPr>
      <w:r>
        <w:rPr>
          <w:rFonts w:ascii="Arial" w:cs="Arial" w:eastAsia="Arial" w:hAnsi="Arial"/>
          <w:sz w:val="22"/>
          <w:szCs w:val="22"/>
          <w:color w:val="auto"/>
        </w:rPr>
        <w:t>Cash flow provided by operating activities remained strong, totaling $178.6 million in the first quarter of fiscal 2026, as compared to $203.0 million in the first quarter of fiscal 2025. The decrease in cash provided by operating activities reflects a significant distribution to a certain participant under the HEICO Leadership Compensation Plan, as well as higher performance-based compensation payments driven by strong operating performance across both segments in fiscal 2025. We continue to forecast strong cash flow from operations for fiscal 2026.</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Our total debt to net income attributable to HEICO ratio was 3.52x as of January 31, 2026, as compared to 3.14x as of October 31, 2025. Our net debt to EBITDA ratio was 1.79x as of January 31, 2026, as compared to 1.60x as of October 31, 2025. The increase in our leverage ratio in the first quarter of fiscal 2026 is a direct result of the successful completion of an acquisition during the quarter. See our reconciliation of total debt to net debt at the end of this press release.</w:t>
      </w:r>
    </w:p>
    <w:p>
      <w:pPr>
        <w:spacing w:after="0" w:line="208" w:lineRule="exact"/>
        <w:rPr>
          <w:sz w:val="20"/>
          <w:szCs w:val="20"/>
          <w:color w:val="auto"/>
        </w:rPr>
      </w:pPr>
    </w:p>
    <w:p>
      <w:pPr>
        <w:ind w:right="100"/>
        <w:spacing w:after="0" w:line="268" w:lineRule="auto"/>
        <w:rPr>
          <w:sz w:val="20"/>
          <w:szCs w:val="20"/>
          <w:color w:val="auto"/>
        </w:rPr>
      </w:pPr>
      <w:r>
        <w:rPr>
          <w:rFonts w:ascii="Arial" w:cs="Arial" w:eastAsia="Arial" w:hAnsi="Arial"/>
          <w:sz w:val="21"/>
          <w:szCs w:val="21"/>
          <w:color w:val="auto"/>
        </w:rPr>
        <w:t>As we look ahead to the remainder of fiscal 2026, we expect continued sales momentum across both the Flight Support Group and the Electronic Technologies Group, supported by organic demand for our products, together with the impact of recent acquisitions. We remain focused on pursuing selective acquisition opportunities that align with our growth strategy. Our disciplined financial management continues to emphasize long-term shareholder value through a combination of strategic acquisitions and organic growth, while preserving financial strength and flexibility."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Flight Support Group</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Flight Support Group delivered strong results in operating income and net sales, achieving quarterly increases of 21% and 15%, respectively, as compared to the first quarter of fiscal 2025. These exceptional results reflect strong double-digit organic net sales growth, driven by increased demand across all of the Flight Support Group's product lines, as well as the contributions from our fiscal 2025 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Flight Support Group's net sales increased 15% to $820.0 million in the first quarter of fiscal 2026, up from</w:t>
      </w:r>
    </w:p>
    <w:p>
      <w:pPr>
        <w:spacing w:after="0" w:line="31"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$713.2 million in the first quarter of fiscal 2025. The net sales increase stems from strong organic growth of 12% and the impact from our fiscal 2025 acquisitions. The organic net sales growth is attributable to increased demand across all of the Flight Support Group’s product lines.</w:t>
      </w:r>
    </w:p>
    <w:p>
      <w:pPr>
        <w:spacing w:after="0" w:line="20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Flight Support Group's operating income increased 21% to $200.7 million in the first quarter of fiscal 2026, up from $166.1 million in the first quarter of fiscal 2025. The operating income increase was principally driven by the previously mentioned net sales growth, selling, general and administrative ("SG&amp;A") expense efficiencies realized from the net sales growth, and an improved gross profit margin. The improved gross profit margin principally reflects the previously mentioned higher net sales and a more favorable product mix within our repair and overhaul parts and services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240"/>
          </w:cols>
          <w:pgMar w:left="320" w:top="1409" w:right="339" w:bottom="1440" w:gutter="0" w:footer="0" w:header="0"/>
        </w:sectPr>
      </w:pPr>
    </w:p>
    <w:bookmarkStart w:id="5" w:name="page6"/>
    <w:bookmarkEnd w:id="5"/>
    <w:p>
      <w:pPr>
        <w:ind w:right="40"/>
        <w:spacing w:after="0" w:line="257" w:lineRule="auto"/>
        <w:rPr>
          <w:sz w:val="20"/>
          <w:szCs w:val="20"/>
          <w:color w:val="auto"/>
        </w:rPr>
      </w:pPr>
      <w:r>
        <w:rPr>
          <w:rFonts w:ascii="Arial" w:cs="Arial" w:eastAsia="Arial" w:hAnsi="Arial"/>
          <w:sz w:val="22"/>
          <w:szCs w:val="22"/>
          <w:color w:val="auto"/>
        </w:rPr>
        <w:t>The Flight Support Group's operating margin improved to 24.5% in the first quarter of fiscal 2026, up from 23.3% in the first quarter of fiscal 2025. The increased operating margin principally reflects a decrease in SG&amp;A expenses as a percentage of net sales, mainly reflecting the previously mentioned SG&amp;A expense efficiencies and improved gross profit margin.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Technologies Group</w:t>
      </w:r>
    </w:p>
    <w:p>
      <w:pPr>
        <w:spacing w:after="0" w:line="249"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The Electronic Technologies Group's first quarter 12% net sales increase was driven mainly by strong organic growth across most of our products, with double-digit organic net sales growth for our aerospace and other electronics products.</w:t>
      </w: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Electronic Technologies Group's net sales increased 12% to $370.7 million in the first quarter of fiscal 2026, up from $330.3 million in the first quarter of fiscal 2025. The net sales increase was driven by strong organic growth of 6% and the impact from our fiscal 2025 and 2026 acquisitions. The organic net sales growth is mainly attributable to increased demand for our other electronics, aerospace and defense products, partially offset by a decrease in demand for our space products.</w:t>
      </w:r>
    </w:p>
    <w:p>
      <w:pPr>
        <w:spacing w:after="0" w:line="208"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Electronic Technologies Group's operating income was $73.2 million in the first quarter of fiscal 2026, as compared to $76.5 million in the first quarter of fiscal 2025. The operating income decrease principally reflects a decrease in gross profit margin, partially offset by the previously mentioned net sales growth. The decrease in gross profit margin principally resulted from a less favorable product mix of defense products and the previously mentioned decrease in net sales of space products, partially offset by the previously mentioned increase in net sales of aerospace products.</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The Electronic Technologies Group's operating margin was 19.8% in the first quarter of fiscal 2026, as compared to 23.1% in the first quarter of fiscal 2025. The decreased operating margin principally reflects the previously mentioned lower gross profit margin.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 provide additional information about the Company's results, HEICO has discussed in this press release its EBITDA (calculated as net income attributable to HEICO adjusted for depreciation and amortization expense, net income attributable to noncontrolling interests, interest expense and income tax expense), its net debt (calculated as total debt less cash and cash equivalents), and its net debt to EBITDA ratio (calculated as net debt divided by EBITDA), which are not prepared in accordance with accounting principles generally accepted in the United States of America (“GAAP”).</w:t>
      </w:r>
    </w:p>
    <w:p>
      <w:pPr>
        <w:spacing w:after="0" w:line="208" w:lineRule="exact"/>
        <w:rPr>
          <w:sz w:val="20"/>
          <w:szCs w:val="20"/>
          <w:color w:val="auto"/>
        </w:rPr>
      </w:pPr>
    </w:p>
    <w:p>
      <w:pPr>
        <w:ind w:right="140"/>
        <w:spacing w:after="0" w:line="282" w:lineRule="auto"/>
        <w:rPr>
          <w:sz w:val="20"/>
          <w:szCs w:val="20"/>
          <w:color w:val="auto"/>
        </w:rPr>
      </w:pPr>
      <w:r>
        <w:rPr>
          <w:rFonts w:ascii="Arial" w:cs="Arial" w:eastAsia="Arial" w:hAnsi="Arial"/>
          <w:sz w:val="21"/>
          <w:szCs w:val="21"/>
          <w:color w:val="auto"/>
        </w:rPr>
        <w:t>These non-GAAP measures are included to supplement the Company’s financial information presented in accordance with GAAP and because the Company uses such measures to monitor and evaluate the performance of its business and believes the presentation of these measures enhance an investor's ability to analyze trends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240"/>
          </w:cols>
          <w:pgMar w:left="320" w:top="1423" w:right="339" w:bottom="1440" w:gutter="0" w:footer="0" w:header="0"/>
        </w:sectPr>
      </w:pPr>
    </w:p>
    <w:bookmarkStart w:id="6" w:name="page7"/>
    <w:bookmarkEnd w:id="6"/>
    <w:p>
      <w:pPr>
        <w:ind w:right="60"/>
        <w:spacing w:after="0" w:line="257" w:lineRule="auto"/>
        <w:rPr>
          <w:sz w:val="20"/>
          <w:szCs w:val="20"/>
          <w:color w:val="auto"/>
        </w:rPr>
      </w:pPr>
      <w:r>
        <w:rPr>
          <w:rFonts w:ascii="Arial" w:cs="Arial" w:eastAsia="Arial" w:hAnsi="Arial"/>
          <w:sz w:val="22"/>
          <w:szCs w:val="22"/>
          <w:color w:val="auto"/>
        </w:rPr>
        <w:t>Company’s business and to evaluate the Company’s performance relative to other companies in its industry. However, these non-GAAP measures have limitations and should not be considered in isolation or as a substitute for analysis of the Company's financial results as reported under GAAP.</w:t>
      </w:r>
    </w:p>
    <w:p>
      <w:pPr>
        <w:spacing w:after="0" w:line="213"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These non-GAAP measures are not in accordance with, or an alternative to, measures prepared in accordance with GAAP and may be different from non-GAAP measures used by other companies. In addition, these non-GAAP measures are not based on any comprehensive set of accounting rules or principles. These measures should only be used to evaluate the Company's results of operations in conjunction with their corresponding GAAP measures. Pursuant to the requirements of Regulation G of the Securities and Exchange Act of 1934, the Company has provided a reconciliation of these non-GAAP measures in the last table included in this press release.</w:t>
      </w:r>
    </w:p>
    <w:p>
      <w:pPr>
        <w:spacing w:after="0" w:line="196"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i w:val="1"/>
          <w:iCs w:val="1"/>
          <w:color w:val="auto"/>
        </w:rPr>
        <w:t>(NOTE: HEICO has two classes of common stock traded on the NYSE. Both classes, the Class A Common Stock (HEI.A) and the Common Stock (HEI), are virtually identical in all economic respects. The only difference between the share classes is the voting rights. The Class A Common Stock (HEI.A) carries 1/10 vote per share and the Common Stock (HEI) carries one vote per share.)</w:t>
      </w:r>
    </w:p>
    <w:p>
      <w:pPr>
        <w:spacing w:after="0" w:line="190" w:lineRule="exact"/>
        <w:rPr>
          <w:sz w:val="20"/>
          <w:szCs w:val="20"/>
          <w:color w:val="auto"/>
        </w:rPr>
      </w:pPr>
    </w:p>
    <w:p>
      <w:pPr>
        <w:ind w:right="260"/>
        <w:spacing w:after="0" w:line="257" w:lineRule="auto"/>
        <w:rPr>
          <w:sz w:val="20"/>
          <w:szCs w:val="20"/>
          <w:color w:val="auto"/>
        </w:rPr>
      </w:pPr>
      <w:r>
        <w:rPr>
          <w:rFonts w:ascii="Arial" w:cs="Arial" w:eastAsia="Arial" w:hAnsi="Arial"/>
          <w:sz w:val="22"/>
          <w:szCs w:val="22"/>
          <w:color w:val="auto"/>
        </w:rPr>
        <w:t>There are currently approximately 84.4 million shares of HEICO's Class A Common Stock (HEI.A) outstanding and 55.1 million shares of HEICO's Common Stock (HEI) outstanding. The stock symbols for HEICO’s two classes of common stock on most websites are HEI.A and HEI. However, some websites change HEICO's Class A Common Stock trading symbol (HEI.A) to HEI/A or HEIa.</w:t>
      </w:r>
    </w:p>
    <w:p>
      <w:pPr>
        <w:spacing w:after="0" w:line="199"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 xml:space="preserve">As previously announced, HEICO will hold a conference call on Thursday, February 26, 2026 at 9:00 a.m. Eastern Standard Time to discuss its first quarter results. Individuals wishing to participate in the conference call should dial: US and Canada (800) 330-6710, International (646) 769-9200, wait for the conference operator and provide the operator with the Conference ID 3280563. A digital replay will be available two hours after the completion of the conference for 14 days. To access the replay, please visit our website at </w:t>
      </w:r>
      <w:r>
        <w:rPr>
          <w:rFonts w:ascii="Arial" w:cs="Arial" w:eastAsia="Arial" w:hAnsi="Arial"/>
          <w:sz w:val="22"/>
          <w:szCs w:val="22"/>
          <w:u w:val="single" w:color="auto"/>
          <w:color w:val="0E32E1"/>
        </w:rPr>
        <w:t>https://www.heico.com</w:t>
      </w:r>
      <w:r>
        <w:rPr>
          <w:rFonts w:ascii="Arial" w:cs="Arial" w:eastAsia="Arial" w:hAnsi="Arial"/>
          <w:sz w:val="22"/>
          <w:szCs w:val="22"/>
          <w:color w:val="auto"/>
        </w:rPr>
        <w:t xml:space="preserve"> under the Investors section for details.</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 xml:space="preserve">HEICO Corporation is engaged primarily in the design, production, servicing and distribution of products and services to certain niche segments of the aviation, defense, space, medical, telecommunications and electronics industries through its Hollywood, Florida-based Flight Support Group and its Miami, Florida-based Electronic Technologies Group. HEICO’s customers include a majority of the world’s airlines and overhaul shops, as well as numerous defense and space contractors and military agencies worldwide, in addition to medical, telecommunications and electronics equipment manufacturers. For more information about HEICO, please visit our website at </w:t>
      </w:r>
      <w:r>
        <w:rPr>
          <w:rFonts w:ascii="Arial" w:cs="Arial" w:eastAsia="Arial" w:hAnsi="Arial"/>
          <w:sz w:val="22"/>
          <w:szCs w:val="22"/>
          <w:u w:val="single" w:color="auto"/>
          <w:color w:val="0E32E1"/>
        </w:rPr>
        <w:t>https://www.heico.com</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200"/>
          </w:cols>
          <w:pgMar w:left="320" w:top="1423" w:right="379" w:bottom="1440" w:gutter="0" w:footer="0" w:header="0"/>
        </w:sectPr>
      </w:pPr>
    </w:p>
    <w:bookmarkStart w:id="7" w:name="page8"/>
    <w:bookmarkEnd w:id="7"/>
    <w:p>
      <w:pPr>
        <w:spacing w:after="0" w:line="247" w:lineRule="auto"/>
        <w:rPr>
          <w:sz w:val="20"/>
          <w:szCs w:val="20"/>
          <w:color w:val="auto"/>
        </w:rPr>
      </w:pPr>
      <w:r>
        <w:rPr>
          <w:rFonts w:ascii="Arial" w:cs="Arial" w:eastAsia="Arial" w:hAnsi="Arial"/>
          <w:sz w:val="22"/>
          <w:szCs w:val="22"/>
          <w:color w:val="auto"/>
        </w:rPr>
        <w:t>Certain statements in this press release constitute forward-looking statements, which are subject to risks, uncertainties and contingencies. HEICO's actual results may differ materially from those expressed in or implied by those forward-looking statements. Factors that could cause such differences include, among others: the severity, magnitude and duration of public health threats; our liquidity and the amount and timing of cash generation; lower commercial air travel, airline fleet changes or airline purchasing decisions, which could cause lower demand for our goods and services; product specification costs and requirements, which could cause an increase in our costs to complete contracts; governmental and regulatory demands, export policies and restrictions, reductions in defense, space or homeland security spending by U.S. and/or foreign customers or competition from existing and new competitors, which could reduce our sales; our ability to introduce new products and services at profitable pricing levels, which could reduce our sales or sales growth; product development or manufacturing difficulties, which could increase our product development and manufacturing costs and delay sales; cybersecurity events or other disruptions of our information technology systems could adversely affect our business; and 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 Parties receiving this material are encouraged to review all of HEICO's filings with the Securities and Exchange Commission including, but not limited to filings on Form 10-K, Form 10-Q and Form 8-K. We undertake no obligation to publicly update or revise any forward-looking statement, whether as a result of new information, future events or otherwise,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140"/>
          </w:cols>
          <w:pgMar w:left="320" w:top="1423" w:right="4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EICO CORPORATION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ondensed Consolidated Statements of Operations </w:t>
      </w:r>
      <w:r>
        <w:rPr>
          <w:rFonts w:ascii="Arial" w:cs="Arial" w:eastAsia="Arial" w:hAnsi="Arial"/>
          <w:sz w:val="21"/>
          <w:szCs w:val="21"/>
          <w:color w:val="auto"/>
        </w:rPr>
        <w:t>(Unaudited)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Net sales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Cost of sales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Selling, general and administrative expenses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Operating income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Interest expense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income</w:t>
      </w:r>
    </w:p>
    <w:p>
      <w:pPr>
        <w:spacing w:after="0" w:line="54" w:lineRule="exact"/>
        <w:rPr>
          <w:sz w:val="20"/>
          <w:szCs w:val="20"/>
          <w:color w:val="auto"/>
        </w:rPr>
      </w:pPr>
    </w:p>
    <w:p>
      <w:pPr>
        <w:ind w:left="160" w:right="1220"/>
        <w:spacing w:after="0" w:line="295" w:lineRule="auto"/>
        <w:rPr>
          <w:sz w:val="20"/>
          <w:szCs w:val="20"/>
          <w:color w:val="auto"/>
        </w:rPr>
      </w:pPr>
      <w:r>
        <w:rPr>
          <w:rFonts w:ascii="Arial" w:cs="Arial" w:eastAsia="Arial" w:hAnsi="Arial"/>
          <w:sz w:val="20"/>
          <w:szCs w:val="20"/>
          <w:color w:val="auto"/>
        </w:rPr>
        <w:t>Income before income taxes and noncontrolling interests Income tax expense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Net income from consolidated operations</w:t>
      </w:r>
    </w:p>
    <w:p>
      <w:pPr>
        <w:spacing w:after="0" w:line="54" w:lineRule="exact"/>
        <w:rPr>
          <w:sz w:val="20"/>
          <w:szCs w:val="20"/>
          <w:color w:val="auto"/>
        </w:rPr>
      </w:pPr>
    </w:p>
    <w:p>
      <w:pPr>
        <w:ind w:left="160" w:right="1300"/>
        <w:spacing w:after="0" w:line="342" w:lineRule="auto"/>
        <w:rPr>
          <w:sz w:val="20"/>
          <w:szCs w:val="20"/>
          <w:color w:val="auto"/>
        </w:rPr>
      </w:pPr>
      <w:r>
        <w:rPr>
          <w:rFonts w:ascii="Arial" w:cs="Arial" w:eastAsia="Arial" w:hAnsi="Arial"/>
          <w:sz w:val="20"/>
          <w:szCs w:val="20"/>
          <w:color w:val="auto"/>
        </w:rPr>
        <w:t>Less: Net income attributable to noncontrolling interests Net income attributable to HEICO</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Net income per share attributable to HEICO shareholders: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Basic</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Diluted</w:t>
      </w:r>
    </w:p>
    <w:p>
      <w:pPr>
        <w:spacing w:after="0" w:line="35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Weighted average number of common shares outstanding: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Basic</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Operating segment information:</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Net sales:</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Flight Support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Electronic Technologies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Intersegment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Operating income:</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Flight Support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Electronic Technologies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Other, primarily corporate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Depreciation and amortization:</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Flight Support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Electronic Technologies Group</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Other, primarily 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Three Months Ended January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2026</w:t>
            </w:r>
          </w:p>
        </w:tc>
        <w:tc>
          <w:tcPr>
            <w:tcW w:w="560" w:type="dxa"/>
            <w:vAlign w:val="bottom"/>
            <w:tcBorders>
              <w:top w:val="single" w:sz="8" w:color="auto"/>
            </w:tcBorders>
          </w:tcPr>
          <w:p>
            <w:pPr>
              <w:spacing w:after="0"/>
              <w:rPr>
                <w:sz w:val="23"/>
                <w:szCs w:val="23"/>
                <w:color w:val="auto"/>
              </w:rPr>
            </w:pPr>
          </w:p>
        </w:tc>
        <w:tc>
          <w:tcPr>
            <w:tcW w:w="1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2025</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00" w:type="dxa"/>
            <w:vAlign w:val="bottom"/>
          </w:tcPr>
          <w:p>
            <w:pPr>
              <w:jc w:val="right"/>
              <w:spacing w:after="0"/>
              <w:rPr>
                <w:sz w:val="20"/>
                <w:szCs w:val="20"/>
                <w:color w:val="auto"/>
              </w:rPr>
            </w:pPr>
            <w:r>
              <w:rPr>
                <w:rFonts w:ascii="Arial" w:cs="Arial" w:eastAsia="Arial" w:hAnsi="Arial"/>
                <w:sz w:val="20"/>
                <w:szCs w:val="20"/>
                <w:color w:val="auto"/>
              </w:rPr>
              <w:t>$1,178,582</w:t>
            </w:r>
          </w:p>
        </w:tc>
        <w:tc>
          <w:tcPr>
            <w:tcW w:w="5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$1,030,222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800" w:type="dxa"/>
            <w:vAlign w:val="bottom"/>
          </w:tcPr>
          <w:p>
            <w:pPr>
              <w:jc w:val="right"/>
              <w:spacing w:after="0"/>
              <w:rPr>
                <w:sz w:val="20"/>
                <w:szCs w:val="20"/>
                <w:color w:val="auto"/>
              </w:rPr>
            </w:pPr>
            <w:r>
              <w:rPr>
                <w:rFonts w:ascii="Arial" w:cs="Arial" w:eastAsia="Arial" w:hAnsi="Arial"/>
                <w:sz w:val="20"/>
                <w:szCs w:val="20"/>
                <w:color w:val="auto"/>
              </w:rPr>
              <w:t>723,618</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624,560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195,065</w:t>
            </w:r>
          </w:p>
        </w:tc>
        <w:tc>
          <w:tcPr>
            <w:tcW w:w="56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178,857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00" w:type="dxa"/>
            <w:vAlign w:val="bottom"/>
          </w:tcPr>
          <w:p>
            <w:pPr>
              <w:jc w:val="right"/>
              <w:spacing w:after="0"/>
              <w:rPr>
                <w:sz w:val="20"/>
                <w:szCs w:val="20"/>
                <w:color w:val="auto"/>
              </w:rPr>
            </w:pPr>
            <w:r>
              <w:rPr>
                <w:rFonts w:ascii="Arial" w:cs="Arial" w:eastAsia="Arial" w:hAnsi="Arial"/>
                <w:sz w:val="20"/>
                <w:szCs w:val="20"/>
                <w:color w:val="auto"/>
              </w:rPr>
              <w:t>259,899</w:t>
            </w:r>
          </w:p>
        </w:tc>
        <w:tc>
          <w:tcPr>
            <w:tcW w:w="5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226,805</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800" w:type="dxa"/>
            <w:vAlign w:val="bottom"/>
          </w:tcPr>
          <w:p>
            <w:pPr>
              <w:jc w:val="right"/>
              <w:spacing w:after="0"/>
              <w:rPr>
                <w:sz w:val="20"/>
                <w:szCs w:val="20"/>
                <w:color w:val="auto"/>
              </w:rPr>
            </w:pPr>
            <w:r>
              <w:rPr>
                <w:rFonts w:ascii="Arial" w:cs="Arial" w:eastAsia="Arial" w:hAnsi="Arial"/>
                <w:sz w:val="20"/>
                <w:szCs w:val="20"/>
                <w:color w:val="auto"/>
              </w:rPr>
              <w:t>(29,486)</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(32,458)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1,044</w:t>
            </w:r>
          </w:p>
        </w:tc>
        <w:tc>
          <w:tcPr>
            <w:tcW w:w="56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00" w:type="dxa"/>
            <w:vAlign w:val="bottom"/>
          </w:tcPr>
          <w:p>
            <w:pPr>
              <w:jc w:val="right"/>
              <w:spacing w:after="0"/>
              <w:rPr>
                <w:sz w:val="20"/>
                <w:szCs w:val="20"/>
                <w:color w:val="auto"/>
              </w:rPr>
            </w:pPr>
            <w:r>
              <w:rPr>
                <w:rFonts w:ascii="Arial" w:cs="Arial" w:eastAsia="Arial" w:hAnsi="Arial"/>
                <w:sz w:val="20"/>
                <w:szCs w:val="20"/>
                <w:color w:val="auto"/>
              </w:rPr>
              <w:t>231,457</w:t>
            </w:r>
          </w:p>
        </w:tc>
        <w:tc>
          <w:tcPr>
            <w:tcW w:w="560" w:type="dxa"/>
            <w:vAlign w:val="bottom"/>
            <w:vMerge w:val="restart"/>
          </w:tcPr>
          <w:p>
            <w:pPr>
              <w:ind w:left="60"/>
              <w:spacing w:after="0"/>
              <w:rPr>
                <w:sz w:val="20"/>
                <w:szCs w:val="20"/>
                <w:color w:val="auto"/>
              </w:rPr>
            </w:pPr>
            <w:r>
              <w:rPr>
                <w:rFonts w:ascii="Arial" w:cs="Arial" w:eastAsia="Arial" w:hAnsi="Arial"/>
                <w:sz w:val="20"/>
                <w:szCs w:val="20"/>
                <w:color w:val="auto"/>
              </w:rPr>
              <w:t>(a)</w:t>
            </w:r>
          </w:p>
        </w:tc>
        <w:tc>
          <w:tcPr>
            <w:tcW w:w="1780" w:type="dxa"/>
            <w:vAlign w:val="bottom"/>
          </w:tcPr>
          <w:p>
            <w:pPr>
              <w:jc w:val="right"/>
              <w:spacing w:after="0"/>
              <w:rPr>
                <w:sz w:val="20"/>
                <w:szCs w:val="20"/>
                <w:color w:val="auto"/>
              </w:rPr>
            </w:pPr>
            <w:r>
              <w:rPr>
                <w:rFonts w:ascii="Arial" w:cs="Arial" w:eastAsia="Arial" w:hAnsi="Arial"/>
                <w:sz w:val="20"/>
                <w:szCs w:val="20"/>
                <w:color w:val="auto"/>
              </w:rPr>
              <w:t>195,266</w:t>
            </w:r>
          </w:p>
        </w:tc>
        <w:tc>
          <w:tcPr>
            <w:tcW w:w="300" w:type="dxa"/>
            <w:vAlign w:val="bottom"/>
            <w:vMerge w:val="restart"/>
          </w:tcPr>
          <w:p>
            <w:pPr>
              <w:ind w:left="60"/>
              <w:spacing w:after="0"/>
              <w:rPr>
                <w:sz w:val="20"/>
                <w:szCs w:val="20"/>
                <w:color w:val="auto"/>
              </w:rPr>
            </w:pPr>
            <w:r>
              <w:rPr>
                <w:rFonts w:ascii="Arial" w:cs="Arial" w:eastAsia="Arial" w:hAnsi="Arial"/>
                <w:sz w:val="20"/>
                <w:szCs w:val="20"/>
                <w:color w:val="auto"/>
                <w:w w:val="89"/>
              </w:rPr>
              <w:t>(b)</w:t>
            </w: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26,700</w:t>
            </w:r>
          </w:p>
        </w:tc>
        <w:tc>
          <w:tcPr>
            <w:tcW w:w="560" w:type="dxa"/>
            <w:vAlign w:val="bottom"/>
            <w:vMerge w:val="continue"/>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13,700</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00" w:type="dxa"/>
            <w:vAlign w:val="bottom"/>
          </w:tcPr>
          <w:p>
            <w:pPr>
              <w:jc w:val="right"/>
              <w:spacing w:after="0"/>
              <w:rPr>
                <w:sz w:val="20"/>
                <w:szCs w:val="20"/>
                <w:color w:val="auto"/>
              </w:rPr>
            </w:pPr>
            <w:r>
              <w:rPr>
                <w:rFonts w:ascii="Arial" w:cs="Arial" w:eastAsia="Arial" w:hAnsi="Arial"/>
                <w:sz w:val="20"/>
                <w:szCs w:val="20"/>
                <w:color w:val="auto"/>
              </w:rPr>
              <w:t>204,757</w:t>
            </w:r>
          </w:p>
        </w:tc>
        <w:tc>
          <w:tcPr>
            <w:tcW w:w="5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181,566</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14,569</w:t>
            </w:r>
          </w:p>
        </w:tc>
        <w:tc>
          <w:tcPr>
            <w:tcW w:w="560" w:type="dxa"/>
            <w:vAlign w:val="bottom"/>
            <w:vMerge w:val="restart"/>
          </w:tcPr>
          <w:p>
            <w:pPr>
              <w:ind w:left="60"/>
              <w:spacing w:after="0"/>
              <w:rPr>
                <w:sz w:val="20"/>
                <w:szCs w:val="20"/>
                <w:color w:val="auto"/>
              </w:rPr>
            </w:pPr>
            <w:r>
              <w:rPr>
                <w:rFonts w:ascii="Arial" w:cs="Arial" w:eastAsia="Arial" w:hAnsi="Arial"/>
                <w:sz w:val="20"/>
                <w:szCs w:val="20"/>
                <w:color w:val="auto"/>
              </w:rPr>
              <w:t>(a)</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13,611</w:t>
            </w:r>
          </w:p>
        </w:tc>
        <w:tc>
          <w:tcPr>
            <w:tcW w:w="300" w:type="dxa"/>
            <w:vAlign w:val="bottom"/>
            <w:vMerge w:val="restart"/>
          </w:tcPr>
          <w:p>
            <w:pPr>
              <w:ind w:left="60"/>
              <w:spacing w:after="0"/>
              <w:rPr>
                <w:sz w:val="20"/>
                <w:szCs w:val="20"/>
                <w:color w:val="auto"/>
              </w:rPr>
            </w:pPr>
            <w:r>
              <w:rPr>
                <w:rFonts w:ascii="Arial" w:cs="Arial" w:eastAsia="Arial" w:hAnsi="Arial"/>
                <w:sz w:val="20"/>
                <w:szCs w:val="20"/>
                <w:color w:val="auto"/>
                <w:w w:val="89"/>
              </w:rPr>
              <w:t>(b)</w:t>
            </w:r>
          </w:p>
        </w:tc>
        <w:tc>
          <w:tcPr>
            <w:tcW w:w="0" w:type="dxa"/>
            <w:vAlign w:val="bottom"/>
          </w:tcPr>
          <w:p>
            <w:pPr>
              <w:spacing w:after="0"/>
              <w:rPr>
                <w:sz w:val="1"/>
                <w:szCs w:val="1"/>
                <w:color w:val="auto"/>
              </w:rPr>
            </w:pPr>
          </w:p>
        </w:tc>
      </w:tr>
      <w:tr>
        <w:trPr>
          <w:trHeight w:val="25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$190,188</w:t>
            </w:r>
          </w:p>
        </w:tc>
        <w:tc>
          <w:tcPr>
            <w:tcW w:w="560" w:type="dxa"/>
            <w:vAlign w:val="bottom"/>
            <w:vMerge w:val="continue"/>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$167,955</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ind w:left="60"/>
              <w:spacing w:after="0"/>
              <w:rPr>
                <w:sz w:val="20"/>
                <w:szCs w:val="20"/>
                <w:color w:val="auto"/>
              </w:rPr>
            </w:pPr>
            <w:r>
              <w:rPr>
                <w:rFonts w:ascii="Arial" w:cs="Arial" w:eastAsia="Arial" w:hAnsi="Arial"/>
                <w:sz w:val="20"/>
                <w:szCs w:val="20"/>
                <w:color w:val="auto"/>
              </w:rPr>
              <w:t>(a)</w:t>
            </w: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ind w:left="60"/>
              <w:spacing w:after="0"/>
              <w:rPr>
                <w:sz w:val="20"/>
                <w:szCs w:val="20"/>
                <w:color w:val="auto"/>
              </w:rPr>
            </w:pPr>
            <w:r>
              <w:rPr>
                <w:rFonts w:ascii="Arial" w:cs="Arial" w:eastAsia="Arial" w:hAnsi="Arial"/>
                <w:sz w:val="20"/>
                <w:szCs w:val="20"/>
                <w:color w:val="auto"/>
                <w:w w:val="89"/>
              </w:rPr>
              <w:t>(b)</w:t>
            </w:r>
          </w:p>
        </w:tc>
        <w:tc>
          <w:tcPr>
            <w:tcW w:w="0" w:type="dxa"/>
            <w:vAlign w:val="bottom"/>
          </w:tcPr>
          <w:p>
            <w:pPr>
              <w:spacing w:after="0"/>
              <w:rPr>
                <w:sz w:val="1"/>
                <w:szCs w:val="1"/>
                <w:color w:val="auto"/>
              </w:rPr>
            </w:pPr>
          </w:p>
        </w:tc>
      </w:tr>
      <w:tr>
        <w:trPr>
          <w:trHeight w:val="822"/>
        </w:trPr>
        <w:tc>
          <w:tcPr>
            <w:tcW w:w="1800" w:type="dxa"/>
            <w:vAlign w:val="bottom"/>
          </w:tcPr>
          <w:p>
            <w:pPr>
              <w:jc w:val="right"/>
              <w:spacing w:after="0"/>
              <w:rPr>
                <w:sz w:val="20"/>
                <w:szCs w:val="20"/>
                <w:color w:val="auto"/>
              </w:rPr>
            </w:pPr>
            <w:r>
              <w:rPr>
                <w:rFonts w:ascii="Arial" w:cs="Arial" w:eastAsia="Arial" w:hAnsi="Arial"/>
                <w:sz w:val="20"/>
                <w:szCs w:val="20"/>
                <w:color w:val="auto"/>
              </w:rPr>
              <w:t>$1.36</w:t>
            </w:r>
          </w:p>
        </w:tc>
        <w:tc>
          <w:tcPr>
            <w:tcW w:w="560" w:type="dxa"/>
            <w:vAlign w:val="bottom"/>
            <w:vMerge w:val="continue"/>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$1.21</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0" w:type="dxa"/>
            <w:vAlign w:val="bottom"/>
          </w:tcPr>
          <w:p>
            <w:pPr>
              <w:jc w:val="right"/>
              <w:spacing w:after="0"/>
              <w:rPr>
                <w:sz w:val="20"/>
                <w:szCs w:val="20"/>
                <w:color w:val="auto"/>
              </w:rPr>
            </w:pPr>
            <w:r>
              <w:rPr>
                <w:rFonts w:ascii="Arial" w:cs="Arial" w:eastAsia="Arial" w:hAnsi="Arial"/>
                <w:sz w:val="20"/>
                <w:szCs w:val="20"/>
                <w:color w:val="auto"/>
              </w:rPr>
              <w:t>$1.35</w:t>
            </w:r>
          </w:p>
        </w:tc>
        <w:tc>
          <w:tcPr>
            <w:tcW w:w="560" w:type="dxa"/>
            <w:vAlign w:val="bottom"/>
          </w:tcPr>
          <w:p>
            <w:pPr>
              <w:ind w:left="60"/>
              <w:spacing w:after="0"/>
              <w:rPr>
                <w:sz w:val="20"/>
                <w:szCs w:val="20"/>
                <w:color w:val="auto"/>
              </w:rPr>
            </w:pPr>
            <w:r>
              <w:rPr>
                <w:rFonts w:ascii="Arial" w:cs="Arial" w:eastAsia="Arial" w:hAnsi="Arial"/>
                <w:sz w:val="20"/>
                <w:szCs w:val="20"/>
                <w:color w:val="auto"/>
              </w:rPr>
              <w:t>(a)</w:t>
            </w:r>
          </w:p>
        </w:tc>
        <w:tc>
          <w:tcPr>
            <w:tcW w:w="1780" w:type="dxa"/>
            <w:vAlign w:val="bottom"/>
          </w:tcPr>
          <w:p>
            <w:pPr>
              <w:jc w:val="right"/>
              <w:spacing w:after="0"/>
              <w:rPr>
                <w:sz w:val="20"/>
                <w:szCs w:val="20"/>
                <w:color w:val="auto"/>
              </w:rPr>
            </w:pPr>
            <w:r>
              <w:rPr>
                <w:rFonts w:ascii="Arial" w:cs="Arial" w:eastAsia="Arial" w:hAnsi="Arial"/>
                <w:sz w:val="20"/>
                <w:szCs w:val="20"/>
                <w:color w:val="auto"/>
              </w:rPr>
              <w:t>$1.20</w:t>
            </w:r>
          </w:p>
        </w:tc>
        <w:tc>
          <w:tcPr>
            <w:tcW w:w="300" w:type="dxa"/>
            <w:vAlign w:val="bottom"/>
          </w:tcPr>
          <w:p>
            <w:pPr>
              <w:ind w:left="60"/>
              <w:spacing w:after="0"/>
              <w:rPr>
                <w:sz w:val="20"/>
                <w:szCs w:val="20"/>
                <w:color w:val="auto"/>
              </w:rPr>
            </w:pPr>
            <w:r>
              <w:rPr>
                <w:rFonts w:ascii="Arial" w:cs="Arial" w:eastAsia="Arial" w:hAnsi="Arial"/>
                <w:sz w:val="20"/>
                <w:szCs w:val="20"/>
                <w:color w:val="auto"/>
                <w:w w:val="89"/>
              </w:rPr>
              <w:t>(b)</w:t>
            </w:r>
          </w:p>
        </w:tc>
        <w:tc>
          <w:tcPr>
            <w:tcW w:w="0" w:type="dxa"/>
            <w:vAlign w:val="bottom"/>
          </w:tcPr>
          <w:p>
            <w:pPr>
              <w:spacing w:after="0"/>
              <w:rPr>
                <w:sz w:val="1"/>
                <w:szCs w:val="1"/>
                <w:color w:val="auto"/>
              </w:rPr>
            </w:pPr>
          </w:p>
        </w:tc>
      </w:tr>
      <w:tr>
        <w:trPr>
          <w:trHeight w:val="864"/>
        </w:trPr>
        <w:tc>
          <w:tcPr>
            <w:tcW w:w="1800" w:type="dxa"/>
            <w:vAlign w:val="bottom"/>
          </w:tcPr>
          <w:p>
            <w:pPr>
              <w:jc w:val="right"/>
              <w:spacing w:after="0"/>
              <w:rPr>
                <w:sz w:val="20"/>
                <w:szCs w:val="20"/>
                <w:color w:val="auto"/>
              </w:rPr>
            </w:pPr>
            <w:r>
              <w:rPr>
                <w:rFonts w:ascii="Arial" w:cs="Arial" w:eastAsia="Arial" w:hAnsi="Arial"/>
                <w:sz w:val="20"/>
                <w:szCs w:val="20"/>
                <w:color w:val="auto"/>
              </w:rPr>
              <w:t>139,368</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138,837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00" w:type="dxa"/>
            <w:vAlign w:val="bottom"/>
          </w:tcPr>
          <w:p>
            <w:pPr>
              <w:jc w:val="right"/>
              <w:spacing w:after="0"/>
              <w:rPr>
                <w:sz w:val="20"/>
                <w:szCs w:val="20"/>
                <w:color w:val="auto"/>
              </w:rPr>
            </w:pPr>
            <w:r>
              <w:rPr>
                <w:rFonts w:ascii="Arial" w:cs="Arial" w:eastAsia="Arial" w:hAnsi="Arial"/>
                <w:sz w:val="20"/>
                <w:szCs w:val="20"/>
                <w:color w:val="auto"/>
              </w:rPr>
              <w:t>141,029</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140,484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47" w:lineRule="exact"/>
        <w:rPr>
          <w:sz w:val="20"/>
          <w:szCs w:val="20"/>
          <w:color w:val="auto"/>
        </w:rPr>
      </w:pPr>
    </w:p>
    <w:p>
      <w:pPr>
        <w:ind w:left="680"/>
        <w:spacing w:after="0"/>
        <w:tabs>
          <w:tab w:leader="none" w:pos="3000" w:val="left"/>
        </w:tabs>
        <w:rPr>
          <w:sz w:val="20"/>
          <w:szCs w:val="20"/>
          <w:color w:val="auto"/>
        </w:rPr>
      </w:pPr>
      <w:r>
        <w:rPr>
          <w:rFonts w:ascii="Arial" w:cs="Arial" w:eastAsia="Arial" w:hAnsi="Arial"/>
          <w:sz w:val="20"/>
          <w:szCs w:val="20"/>
          <w:b w:val="1"/>
          <w:bCs w:val="1"/>
          <w:color w:val="auto"/>
        </w:rPr>
        <w:t>2026</w:t>
      </w:r>
      <w:r>
        <w:rPr>
          <w:sz w:val="20"/>
          <w:szCs w:val="20"/>
          <w:color w:val="auto"/>
        </w:rPr>
        <w:tab/>
      </w:r>
      <w:r>
        <w:rPr>
          <w:rFonts w:ascii="Arial" w:cs="Arial" w:eastAsia="Arial" w:hAnsi="Arial"/>
          <w:sz w:val="20"/>
          <w:szCs w:val="20"/>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0" w:type="dxa"/>
            <w:vAlign w:val="bottom"/>
          </w:tcPr>
          <w:p>
            <w:pPr>
              <w:jc w:val="right"/>
              <w:spacing w:after="0"/>
              <w:rPr>
                <w:sz w:val="20"/>
                <w:szCs w:val="20"/>
                <w:color w:val="auto"/>
              </w:rPr>
            </w:pPr>
            <w:r>
              <w:rPr>
                <w:rFonts w:ascii="Arial" w:cs="Arial" w:eastAsia="Arial" w:hAnsi="Arial"/>
                <w:sz w:val="20"/>
                <w:szCs w:val="20"/>
                <w:color w:val="auto"/>
              </w:rPr>
              <w:t>$820,000</w:t>
            </w:r>
          </w:p>
        </w:tc>
        <w:tc>
          <w:tcPr>
            <w:tcW w:w="5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$713,174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800" w:type="dxa"/>
            <w:vAlign w:val="bottom"/>
          </w:tcPr>
          <w:p>
            <w:pPr>
              <w:jc w:val="right"/>
              <w:spacing w:after="0"/>
              <w:rPr>
                <w:sz w:val="20"/>
                <w:szCs w:val="20"/>
                <w:color w:val="auto"/>
              </w:rPr>
            </w:pPr>
            <w:r>
              <w:rPr>
                <w:rFonts w:ascii="Arial" w:cs="Arial" w:eastAsia="Arial" w:hAnsi="Arial"/>
                <w:sz w:val="20"/>
                <w:szCs w:val="20"/>
                <w:color w:val="auto"/>
              </w:rPr>
              <w:t>370,675</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330,315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(12,093)</w:t>
            </w:r>
          </w:p>
        </w:tc>
        <w:tc>
          <w:tcPr>
            <w:tcW w:w="56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(13,267)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$1,178,582</w:t>
            </w:r>
          </w:p>
        </w:tc>
        <w:tc>
          <w:tcPr>
            <w:tcW w:w="56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$1,030,222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1800" w:type="dxa"/>
            <w:vAlign w:val="bottom"/>
          </w:tcPr>
          <w:p>
            <w:pPr>
              <w:jc w:val="right"/>
              <w:spacing w:after="0"/>
              <w:rPr>
                <w:sz w:val="20"/>
                <w:szCs w:val="20"/>
                <w:color w:val="auto"/>
              </w:rPr>
            </w:pPr>
            <w:r>
              <w:rPr>
                <w:rFonts w:ascii="Arial" w:cs="Arial" w:eastAsia="Arial" w:hAnsi="Arial"/>
                <w:sz w:val="20"/>
                <w:szCs w:val="20"/>
                <w:color w:val="auto"/>
              </w:rPr>
              <w:t>$200,733</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$166,116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00" w:type="dxa"/>
            <w:vAlign w:val="bottom"/>
          </w:tcPr>
          <w:p>
            <w:pPr>
              <w:jc w:val="right"/>
              <w:spacing w:after="0"/>
              <w:rPr>
                <w:sz w:val="20"/>
                <w:szCs w:val="20"/>
                <w:color w:val="auto"/>
              </w:rPr>
            </w:pPr>
            <w:r>
              <w:rPr>
                <w:rFonts w:ascii="Arial" w:cs="Arial" w:eastAsia="Arial" w:hAnsi="Arial"/>
                <w:sz w:val="20"/>
                <w:szCs w:val="20"/>
                <w:color w:val="auto"/>
              </w:rPr>
              <w:t>73,246</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76,456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(14,080)</w:t>
            </w:r>
          </w:p>
        </w:tc>
        <w:tc>
          <w:tcPr>
            <w:tcW w:w="56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(15,767)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$259,899</w:t>
            </w:r>
          </w:p>
        </w:tc>
        <w:tc>
          <w:tcPr>
            <w:tcW w:w="56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$226,805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6"/>
        </w:trPr>
        <w:tc>
          <w:tcPr>
            <w:tcW w:w="1800" w:type="dxa"/>
            <w:vAlign w:val="bottom"/>
          </w:tcPr>
          <w:p>
            <w:pPr>
              <w:jc w:val="right"/>
              <w:spacing w:after="0"/>
              <w:rPr>
                <w:sz w:val="20"/>
                <w:szCs w:val="20"/>
                <w:color w:val="auto"/>
              </w:rPr>
            </w:pPr>
            <w:r>
              <w:rPr>
                <w:rFonts w:ascii="Arial" w:cs="Arial" w:eastAsia="Arial" w:hAnsi="Arial"/>
                <w:sz w:val="20"/>
                <w:szCs w:val="20"/>
                <w:color w:val="auto"/>
              </w:rPr>
              <w:t>$27,875</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$25,832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0" w:type="dxa"/>
            <w:vAlign w:val="bottom"/>
          </w:tcPr>
          <w:p>
            <w:pPr>
              <w:jc w:val="right"/>
              <w:spacing w:after="0"/>
              <w:rPr>
                <w:sz w:val="20"/>
                <w:szCs w:val="20"/>
                <w:color w:val="auto"/>
              </w:rPr>
            </w:pPr>
            <w:r>
              <w:rPr>
                <w:rFonts w:ascii="Arial" w:cs="Arial" w:eastAsia="Arial" w:hAnsi="Arial"/>
                <w:sz w:val="20"/>
                <w:szCs w:val="20"/>
                <w:color w:val="auto"/>
              </w:rPr>
              <w:t>22,284</w:t>
            </w:r>
          </w:p>
        </w:tc>
        <w:tc>
          <w:tcPr>
            <w:tcW w:w="5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19,500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849</w:t>
            </w:r>
          </w:p>
        </w:tc>
        <w:tc>
          <w:tcPr>
            <w:tcW w:w="560" w:type="dxa"/>
            <w:vAlign w:val="bottom"/>
            <w:vMerge w:val="restart"/>
          </w:tcPr>
          <w:p>
            <w:pPr>
              <w:ind w:left="60"/>
              <w:spacing w:after="0"/>
              <w:rPr>
                <w:sz w:val="20"/>
                <w:szCs w:val="20"/>
                <w:color w:val="auto"/>
              </w:rPr>
            </w:pPr>
            <w:r>
              <w:rPr>
                <w:rFonts w:ascii="Arial" w:cs="Arial" w:eastAsia="Arial" w:hAnsi="Arial"/>
                <w:sz w:val="20"/>
                <w:szCs w:val="20"/>
                <w:color w:val="auto"/>
              </w:rPr>
              <w:t>(c)</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w:t>
            </w:r>
          </w:p>
        </w:tc>
        <w:tc>
          <w:tcPr>
            <w:tcW w:w="300" w:type="dxa"/>
            <w:vAlign w:val="bottom"/>
            <w:vMerge w:val="restart"/>
          </w:tcPr>
          <w:p>
            <w:pPr>
              <w:ind w:left="60"/>
              <w:spacing w:after="0"/>
              <w:rPr>
                <w:sz w:val="20"/>
                <w:szCs w:val="20"/>
                <w:color w:val="auto"/>
              </w:rPr>
            </w:pPr>
            <w:r>
              <w:rPr>
                <w:rFonts w:ascii="Arial" w:cs="Arial" w:eastAsia="Arial" w:hAnsi="Arial"/>
                <w:sz w:val="20"/>
                <w:szCs w:val="20"/>
                <w:color w:val="auto"/>
                <w:w w:val="94"/>
              </w:rPr>
              <w:t>(c)</w:t>
            </w:r>
          </w:p>
        </w:tc>
        <w:tc>
          <w:tcPr>
            <w:tcW w:w="0" w:type="dxa"/>
            <w:vAlign w:val="bottom"/>
          </w:tcPr>
          <w:p>
            <w:pPr>
              <w:spacing w:after="0"/>
              <w:rPr>
                <w:sz w:val="1"/>
                <w:szCs w:val="1"/>
                <w:color w:val="auto"/>
              </w:rPr>
            </w:pPr>
          </w:p>
        </w:tc>
      </w:tr>
      <w:tr>
        <w:trPr>
          <w:trHeight w:val="25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$51,008</w:t>
            </w:r>
          </w:p>
        </w:tc>
        <w:tc>
          <w:tcPr>
            <w:tcW w:w="560" w:type="dxa"/>
            <w:vAlign w:val="bottom"/>
            <w:vMerge w:val="continue"/>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$46,225</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40" w:space="300"/>
            <w:col w:w="4440"/>
          </w:cols>
          <w:pgMar w:left="220" w:top="1340" w:right="599"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080"/>
          </w:cols>
          <w:pgMar w:left="220" w:top="1340" w:right="599" w:bottom="719"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EICO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ootnotes to Condensed Consolidated Statements of Operations </w:t>
      </w:r>
      <w:r>
        <w:rPr>
          <w:rFonts w:ascii="Arial" w:cs="Arial" w:eastAsia="Arial" w:hAnsi="Arial"/>
          <w:sz w:val="22"/>
          <w:szCs w:val="22"/>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371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left="600" w:hanging="411"/>
        <w:spacing w:after="0" w:line="257" w:lineRule="auto"/>
        <w:tabs>
          <w:tab w:leader="none" w:pos="594"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first quarter of fiscal 2026, the Company recognized a $22.3 million discrete tax benefit from stock option exercises, which, net of noncontrolling interests, increased net income attributable to HEICO by $21.8 million, or $.16 per basic share and $.15 per diluted share.</w:t>
      </w:r>
    </w:p>
    <w:p>
      <w:pPr>
        <w:spacing w:after="0" w:line="199" w:lineRule="exact"/>
        <w:rPr>
          <w:rFonts w:ascii="Arial" w:cs="Arial" w:eastAsia="Arial" w:hAnsi="Arial"/>
          <w:sz w:val="22"/>
          <w:szCs w:val="22"/>
          <w:color w:val="auto"/>
        </w:rPr>
      </w:pPr>
    </w:p>
    <w:p>
      <w:pPr>
        <w:jc w:val="both"/>
        <w:ind w:left="600" w:hanging="411"/>
        <w:spacing w:after="0" w:line="264" w:lineRule="auto"/>
        <w:tabs>
          <w:tab w:leader="none" w:pos="594"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first quarter of fiscal 2025, the Company recognized a $27.2 million discrete tax benefit from stock option exercises, which, net of noncontrolling interests, increased net income attributable to HEICO by $26.5 million, or $.19 per basic and diluted share.</w:t>
      </w:r>
    </w:p>
    <w:p>
      <w:pPr>
        <w:spacing w:after="0" w:line="191" w:lineRule="exact"/>
        <w:rPr>
          <w:rFonts w:ascii="Arial" w:cs="Arial" w:eastAsia="Arial" w:hAnsi="Arial"/>
          <w:sz w:val="22"/>
          <w:szCs w:val="22"/>
          <w:color w:val="auto"/>
        </w:rPr>
      </w:pPr>
    </w:p>
    <w:p>
      <w:pPr>
        <w:ind w:left="600" w:right="260" w:hanging="411"/>
        <w:spacing w:after="0" w:line="272" w:lineRule="auto"/>
        <w:tabs>
          <w:tab w:leader="none" w:pos="595" w:val="left"/>
        </w:tabs>
        <w:numPr>
          <w:ilvl w:val="0"/>
          <w:numId w:val="2"/>
        </w:numPr>
        <w:rPr>
          <w:rFonts w:ascii="Arial" w:cs="Arial" w:eastAsia="Arial" w:hAnsi="Arial"/>
          <w:sz w:val="22"/>
          <w:szCs w:val="22"/>
          <w:color w:val="auto"/>
        </w:rPr>
      </w:pPr>
      <w:r>
        <w:rPr>
          <w:rFonts w:ascii="Arial" w:cs="Arial" w:eastAsia="Arial" w:hAnsi="Arial"/>
          <w:sz w:val="22"/>
          <w:szCs w:val="22"/>
          <w:color w:val="auto"/>
        </w:rPr>
        <w:t>Depreciation and amortization information on the Company's two operating segments for the three months ended January 31, 2026 and 2025, is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73"/>
        </w:trPr>
        <w:tc>
          <w:tcPr>
            <w:tcW w:w="5260" w:type="dxa"/>
            <w:vAlign w:val="bottom"/>
          </w:tcPr>
          <w:p>
            <w:pPr>
              <w:spacing w:after="0"/>
              <w:rPr>
                <w:sz w:val="23"/>
                <w:szCs w:val="23"/>
                <w:color w:val="auto"/>
              </w:rPr>
            </w:pPr>
          </w:p>
        </w:tc>
        <w:tc>
          <w:tcPr>
            <w:tcW w:w="4580" w:type="dxa"/>
            <w:vAlign w:val="bottom"/>
            <w:gridSpan w:val="3"/>
          </w:tcPr>
          <w:p>
            <w:pPr>
              <w:jc w:val="right"/>
              <w:ind w:right="641"/>
              <w:spacing w:after="0"/>
              <w:rPr>
                <w:sz w:val="20"/>
                <w:szCs w:val="20"/>
                <w:color w:val="auto"/>
              </w:rPr>
            </w:pPr>
            <w:r>
              <w:rPr>
                <w:rFonts w:ascii="Arial" w:cs="Arial" w:eastAsia="Arial" w:hAnsi="Arial"/>
                <w:sz w:val="20"/>
                <w:szCs w:val="20"/>
                <w:b w:val="1"/>
                <w:bCs w:val="1"/>
                <w:color w:val="auto"/>
              </w:rPr>
              <w:t>Three Months Ended January 31,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160" w:type="dxa"/>
            <w:vAlign w:val="bottom"/>
            <w:tcBorders>
              <w:bottom w:val="single" w:sz="8" w:color="auto"/>
            </w:tcBorders>
          </w:tcPr>
          <w:p>
            <w:pPr>
              <w:jc w:val="right"/>
              <w:ind w:right="761"/>
              <w:spacing w:after="0"/>
              <w:rPr>
                <w:sz w:val="20"/>
                <w:szCs w:val="20"/>
                <w:color w:val="auto"/>
              </w:rPr>
            </w:pPr>
            <w:r>
              <w:rPr>
                <w:rFonts w:ascii="Arial" w:cs="Arial" w:eastAsia="Arial" w:hAnsi="Arial"/>
                <w:sz w:val="20"/>
                <w:szCs w:val="20"/>
                <w:b w:val="1"/>
                <w:bCs w:val="1"/>
                <w:color w:val="auto"/>
              </w:rPr>
              <w:t>2026</w:t>
            </w:r>
          </w:p>
        </w:tc>
        <w:tc>
          <w:tcPr>
            <w:tcW w:w="260" w:type="dxa"/>
            <w:vAlign w:val="bottom"/>
          </w:tcPr>
          <w:p>
            <w:pPr>
              <w:spacing w:after="0"/>
              <w:rPr>
                <w:sz w:val="21"/>
                <w:szCs w:val="21"/>
                <w:color w:val="auto"/>
              </w:rPr>
            </w:pPr>
          </w:p>
        </w:tc>
        <w:tc>
          <w:tcPr>
            <w:tcW w:w="2160" w:type="dxa"/>
            <w:vAlign w:val="bottom"/>
            <w:tcBorders>
              <w:bottom w:val="single" w:sz="8" w:color="auto"/>
            </w:tcBorders>
          </w:tcPr>
          <w:p>
            <w:pPr>
              <w:jc w:val="right"/>
              <w:ind w:right="761"/>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490"/>
        </w:trPr>
        <w:tc>
          <w:tcPr>
            <w:tcW w:w="5260" w:type="dxa"/>
            <w:vAlign w:val="bottom"/>
          </w:tcPr>
          <w:p>
            <w:pPr>
              <w:spacing w:after="0"/>
              <w:rPr>
                <w:sz w:val="20"/>
                <w:szCs w:val="20"/>
                <w:color w:val="auto"/>
              </w:rPr>
            </w:pPr>
            <w:r>
              <w:rPr>
                <w:rFonts w:ascii="Arial" w:cs="Arial" w:eastAsia="Arial" w:hAnsi="Arial"/>
                <w:sz w:val="20"/>
                <w:szCs w:val="20"/>
                <w:color w:val="auto"/>
              </w:rPr>
              <w:t>Depreciation:</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60" w:type="dxa"/>
            <w:vAlign w:val="bottom"/>
          </w:tcPr>
          <w:p>
            <w:pPr>
              <w:ind w:left="160"/>
              <w:spacing w:after="0"/>
              <w:rPr>
                <w:sz w:val="20"/>
                <w:szCs w:val="20"/>
                <w:color w:val="auto"/>
              </w:rPr>
            </w:pPr>
            <w:r>
              <w:rPr>
                <w:rFonts w:ascii="Arial" w:cs="Arial" w:eastAsia="Arial" w:hAnsi="Arial"/>
                <w:sz w:val="20"/>
                <w:szCs w:val="20"/>
                <w:color w:val="auto"/>
              </w:rPr>
              <w:t>Flight Support Group</w:t>
            </w:r>
          </w:p>
        </w:tc>
        <w:tc>
          <w:tcPr>
            <w:tcW w:w="2160" w:type="dxa"/>
            <w:vAlign w:val="bottom"/>
          </w:tcPr>
          <w:p>
            <w:pPr>
              <w:jc w:val="right"/>
              <w:spacing w:after="0"/>
              <w:rPr>
                <w:sz w:val="20"/>
                <w:szCs w:val="20"/>
                <w:color w:val="auto"/>
              </w:rPr>
            </w:pPr>
            <w:r>
              <w:rPr>
                <w:rFonts w:ascii="Arial" w:cs="Arial" w:eastAsia="Arial" w:hAnsi="Arial"/>
                <w:sz w:val="20"/>
                <w:szCs w:val="20"/>
                <w:color w:val="auto"/>
              </w:rPr>
              <w:t>$6,781</w:t>
            </w:r>
          </w:p>
        </w:tc>
        <w:tc>
          <w:tcPr>
            <w:tcW w:w="2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$6,578</w:t>
            </w:r>
          </w:p>
        </w:tc>
        <w:tc>
          <w:tcPr>
            <w:tcW w:w="0" w:type="dxa"/>
            <w:vAlign w:val="bottom"/>
          </w:tcPr>
          <w:p>
            <w:pPr>
              <w:spacing w:after="0"/>
              <w:rPr>
                <w:sz w:val="1"/>
                <w:szCs w:val="1"/>
                <w:color w:val="auto"/>
              </w:rPr>
            </w:pPr>
          </w:p>
        </w:tc>
      </w:tr>
      <w:tr>
        <w:trPr>
          <w:trHeight w:val="284"/>
        </w:trPr>
        <w:tc>
          <w:tcPr>
            <w:tcW w:w="5260" w:type="dxa"/>
            <w:vAlign w:val="bottom"/>
          </w:tcPr>
          <w:p>
            <w:pPr>
              <w:ind w:left="160"/>
              <w:spacing w:after="0"/>
              <w:rPr>
                <w:sz w:val="20"/>
                <w:szCs w:val="20"/>
                <w:color w:val="auto"/>
              </w:rPr>
            </w:pPr>
            <w:r>
              <w:rPr>
                <w:rFonts w:ascii="Arial" w:cs="Arial" w:eastAsia="Arial" w:hAnsi="Arial"/>
                <w:sz w:val="20"/>
                <w:szCs w:val="20"/>
                <w:color w:val="auto"/>
              </w:rPr>
              <w:t>Electronic Technologies Group</w:t>
            </w:r>
          </w:p>
        </w:tc>
        <w:tc>
          <w:tcPr>
            <w:tcW w:w="2160" w:type="dxa"/>
            <w:vAlign w:val="bottom"/>
          </w:tcPr>
          <w:p>
            <w:pPr>
              <w:jc w:val="right"/>
              <w:spacing w:after="0"/>
              <w:rPr>
                <w:sz w:val="20"/>
                <w:szCs w:val="20"/>
                <w:color w:val="auto"/>
              </w:rPr>
            </w:pPr>
            <w:r>
              <w:rPr>
                <w:rFonts w:ascii="Arial" w:cs="Arial" w:eastAsia="Arial" w:hAnsi="Arial"/>
                <w:sz w:val="20"/>
                <w:szCs w:val="20"/>
                <w:color w:val="auto"/>
              </w:rPr>
              <w:t>6,923</w:t>
            </w:r>
          </w:p>
        </w:tc>
        <w:tc>
          <w:tcPr>
            <w:tcW w:w="2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5,969</w:t>
            </w:r>
          </w:p>
        </w:tc>
        <w:tc>
          <w:tcPr>
            <w:tcW w:w="0" w:type="dxa"/>
            <w:vAlign w:val="bottom"/>
          </w:tcPr>
          <w:p>
            <w:pPr>
              <w:spacing w:after="0"/>
              <w:rPr>
                <w:sz w:val="1"/>
                <w:szCs w:val="1"/>
                <w:color w:val="auto"/>
              </w:rPr>
            </w:pPr>
          </w:p>
        </w:tc>
      </w:tr>
      <w:tr>
        <w:trPr>
          <w:trHeight w:val="290"/>
        </w:trPr>
        <w:tc>
          <w:tcPr>
            <w:tcW w:w="5260" w:type="dxa"/>
            <w:vAlign w:val="bottom"/>
          </w:tcPr>
          <w:p>
            <w:pPr>
              <w:ind w:left="160"/>
              <w:spacing w:after="0"/>
              <w:rPr>
                <w:sz w:val="20"/>
                <w:szCs w:val="20"/>
                <w:color w:val="auto"/>
              </w:rPr>
            </w:pPr>
            <w:r>
              <w:rPr>
                <w:rFonts w:ascii="Arial" w:cs="Arial" w:eastAsia="Arial" w:hAnsi="Arial"/>
                <w:sz w:val="20"/>
                <w:szCs w:val="20"/>
                <w:color w:val="auto"/>
              </w:rPr>
              <w:t>Other, primarily corporate</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w:t>
            </w:r>
          </w:p>
        </w:tc>
        <w:tc>
          <w:tcPr>
            <w:tcW w:w="26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w:t>
            </w: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$14,161</w:t>
            </w:r>
          </w:p>
        </w:tc>
        <w:tc>
          <w:tcPr>
            <w:tcW w:w="26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$13,048</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20"/>
                <w:szCs w:val="20"/>
                <w:color w:val="auto"/>
              </w:rPr>
              <w:t>Amortization:</w:t>
            </w: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52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60" w:type="dxa"/>
            <w:vAlign w:val="bottom"/>
          </w:tcPr>
          <w:p>
            <w:pPr>
              <w:ind w:left="160"/>
              <w:spacing w:after="0"/>
              <w:rPr>
                <w:sz w:val="20"/>
                <w:szCs w:val="20"/>
                <w:color w:val="auto"/>
              </w:rPr>
            </w:pPr>
            <w:r>
              <w:rPr>
                <w:rFonts w:ascii="Arial" w:cs="Arial" w:eastAsia="Arial" w:hAnsi="Arial"/>
                <w:sz w:val="20"/>
                <w:szCs w:val="20"/>
                <w:color w:val="auto"/>
              </w:rPr>
              <w:t>Flight Support Group</w:t>
            </w:r>
          </w:p>
        </w:tc>
        <w:tc>
          <w:tcPr>
            <w:tcW w:w="2160" w:type="dxa"/>
            <w:vAlign w:val="bottom"/>
          </w:tcPr>
          <w:p>
            <w:pPr>
              <w:jc w:val="right"/>
              <w:spacing w:after="0"/>
              <w:rPr>
                <w:sz w:val="20"/>
                <w:szCs w:val="20"/>
                <w:color w:val="auto"/>
              </w:rPr>
            </w:pPr>
            <w:r>
              <w:rPr>
                <w:rFonts w:ascii="Arial" w:cs="Arial" w:eastAsia="Arial" w:hAnsi="Arial"/>
                <w:sz w:val="20"/>
                <w:szCs w:val="20"/>
                <w:color w:val="auto"/>
              </w:rPr>
              <w:t>$21,094</w:t>
            </w:r>
          </w:p>
        </w:tc>
        <w:tc>
          <w:tcPr>
            <w:tcW w:w="2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$19,254</w:t>
            </w:r>
          </w:p>
        </w:tc>
        <w:tc>
          <w:tcPr>
            <w:tcW w:w="0" w:type="dxa"/>
            <w:vAlign w:val="bottom"/>
          </w:tcPr>
          <w:p>
            <w:pPr>
              <w:spacing w:after="0"/>
              <w:rPr>
                <w:sz w:val="1"/>
                <w:szCs w:val="1"/>
                <w:color w:val="auto"/>
              </w:rPr>
            </w:pPr>
          </w:p>
        </w:tc>
      </w:tr>
      <w:tr>
        <w:trPr>
          <w:trHeight w:val="283"/>
        </w:trPr>
        <w:tc>
          <w:tcPr>
            <w:tcW w:w="5260" w:type="dxa"/>
            <w:vAlign w:val="bottom"/>
          </w:tcPr>
          <w:p>
            <w:pPr>
              <w:ind w:left="160"/>
              <w:spacing w:after="0"/>
              <w:rPr>
                <w:sz w:val="20"/>
                <w:szCs w:val="20"/>
                <w:color w:val="auto"/>
              </w:rPr>
            </w:pPr>
            <w:r>
              <w:rPr>
                <w:rFonts w:ascii="Arial" w:cs="Arial" w:eastAsia="Arial" w:hAnsi="Arial"/>
                <w:sz w:val="20"/>
                <w:szCs w:val="20"/>
                <w:color w:val="auto"/>
              </w:rPr>
              <w:t>Electronic Technologies Group</w:t>
            </w:r>
          </w:p>
        </w:tc>
        <w:tc>
          <w:tcPr>
            <w:tcW w:w="2160" w:type="dxa"/>
            <w:vAlign w:val="bottom"/>
          </w:tcPr>
          <w:p>
            <w:pPr>
              <w:jc w:val="right"/>
              <w:spacing w:after="0"/>
              <w:rPr>
                <w:sz w:val="20"/>
                <w:szCs w:val="20"/>
                <w:color w:val="auto"/>
              </w:rPr>
            </w:pPr>
            <w:r>
              <w:rPr>
                <w:rFonts w:ascii="Arial" w:cs="Arial" w:eastAsia="Arial" w:hAnsi="Arial"/>
                <w:sz w:val="20"/>
                <w:szCs w:val="20"/>
                <w:color w:val="auto"/>
              </w:rPr>
              <w:t>15,361</w:t>
            </w:r>
          </w:p>
        </w:tc>
        <w:tc>
          <w:tcPr>
            <w:tcW w:w="2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13,531</w:t>
            </w:r>
          </w:p>
        </w:tc>
        <w:tc>
          <w:tcPr>
            <w:tcW w:w="0" w:type="dxa"/>
            <w:vAlign w:val="bottom"/>
          </w:tcPr>
          <w:p>
            <w:pPr>
              <w:spacing w:after="0"/>
              <w:rPr>
                <w:sz w:val="1"/>
                <w:szCs w:val="1"/>
                <w:color w:val="auto"/>
              </w:rPr>
            </w:pPr>
          </w:p>
        </w:tc>
      </w:tr>
      <w:tr>
        <w:trPr>
          <w:trHeight w:val="290"/>
        </w:trPr>
        <w:tc>
          <w:tcPr>
            <w:tcW w:w="5260" w:type="dxa"/>
            <w:vAlign w:val="bottom"/>
          </w:tcPr>
          <w:p>
            <w:pPr>
              <w:ind w:left="160"/>
              <w:spacing w:after="0"/>
              <w:rPr>
                <w:sz w:val="20"/>
                <w:szCs w:val="20"/>
                <w:color w:val="auto"/>
              </w:rPr>
            </w:pPr>
            <w:r>
              <w:rPr>
                <w:rFonts w:ascii="Arial" w:cs="Arial" w:eastAsia="Arial" w:hAnsi="Arial"/>
                <w:sz w:val="20"/>
                <w:szCs w:val="20"/>
                <w:color w:val="auto"/>
              </w:rPr>
              <w:t>Other, primarily corporate</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w:t>
            </w:r>
          </w:p>
        </w:tc>
        <w:tc>
          <w:tcPr>
            <w:tcW w:w="26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$36,847</w:t>
            </w:r>
          </w:p>
        </w:tc>
        <w:tc>
          <w:tcPr>
            <w:tcW w:w="26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$33,177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0980"/>
          </w:cols>
          <w:pgMar w:left="220" w:top="1340" w:right="69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HEICO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Condensed Consolidated Balance Sheets </w:t>
      </w:r>
      <w:r>
        <w:rPr>
          <w:rFonts w:ascii="Arial" w:cs="Arial" w:eastAsia="Arial" w:hAnsi="Arial"/>
          <w:sz w:val="22"/>
          <w:szCs w:val="22"/>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thousands)</w:t>
      </w: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94"/>
        </w:trPr>
        <w:tc>
          <w:tcPr>
            <w:tcW w:w="6140" w:type="dxa"/>
            <w:vAlign w:val="bottom"/>
            <w:vMerge w:val="restart"/>
          </w:tcPr>
          <w:p>
            <w:pPr>
              <w:spacing w:after="0"/>
              <w:rPr>
                <w:sz w:val="20"/>
                <w:szCs w:val="20"/>
                <w:color w:val="auto"/>
              </w:rPr>
            </w:pPr>
            <w:r>
              <w:rPr>
                <w:rFonts w:ascii="Arial" w:cs="Arial" w:eastAsia="Arial" w:hAnsi="Arial"/>
                <w:sz w:val="20"/>
                <w:szCs w:val="20"/>
                <w:color w:val="auto"/>
              </w:rPr>
              <w:t>Cash and cash equivalents</w:t>
            </w:r>
          </w:p>
        </w:tc>
        <w:tc>
          <w:tcPr>
            <w:tcW w:w="2420" w:type="dxa"/>
            <w:vAlign w:val="bottom"/>
            <w:gridSpan w:val="2"/>
          </w:tcPr>
          <w:p>
            <w:pPr>
              <w:ind w:left="360"/>
              <w:spacing w:after="0"/>
              <w:rPr>
                <w:sz w:val="20"/>
                <w:szCs w:val="20"/>
                <w:color w:val="auto"/>
              </w:rPr>
            </w:pPr>
            <w:r>
              <w:rPr>
                <w:rFonts w:ascii="Arial" w:cs="Arial" w:eastAsia="Arial" w:hAnsi="Arial"/>
                <w:sz w:val="20"/>
                <w:szCs w:val="20"/>
                <w:b w:val="1"/>
                <w:bCs w:val="1"/>
                <w:color w:val="auto"/>
              </w:rPr>
              <w:t>January 31, 2026</w:t>
            </w:r>
          </w:p>
        </w:tc>
        <w:tc>
          <w:tcPr>
            <w:tcW w:w="2520" w:type="dxa"/>
            <w:vAlign w:val="bottom"/>
          </w:tcPr>
          <w:p>
            <w:pPr>
              <w:jc w:val="right"/>
              <w:ind w:right="381"/>
              <w:spacing w:after="0"/>
              <w:rPr>
                <w:sz w:val="20"/>
                <w:szCs w:val="20"/>
                <w:color w:val="auto"/>
              </w:rPr>
            </w:pPr>
            <w:r>
              <w:rPr>
                <w:rFonts w:ascii="Arial" w:cs="Arial" w:eastAsia="Arial" w:hAnsi="Arial"/>
                <w:sz w:val="20"/>
                <w:szCs w:val="20"/>
                <w:b w:val="1"/>
                <w:bCs w:val="1"/>
                <w:color w:val="auto"/>
              </w:rPr>
              <w:t>October 31, 2025</w:t>
            </w:r>
          </w:p>
        </w:tc>
        <w:tc>
          <w:tcPr>
            <w:tcW w:w="0" w:type="dxa"/>
            <w:vAlign w:val="bottom"/>
          </w:tcPr>
          <w:p>
            <w:pPr>
              <w:spacing w:after="0"/>
              <w:rPr>
                <w:sz w:val="1"/>
                <w:szCs w:val="1"/>
                <w:color w:val="auto"/>
              </w:rPr>
            </w:pPr>
          </w:p>
        </w:tc>
      </w:tr>
      <w:tr>
        <w:trPr>
          <w:trHeight w:val="255"/>
        </w:trPr>
        <w:tc>
          <w:tcPr>
            <w:tcW w:w="6140" w:type="dxa"/>
            <w:vAlign w:val="bottom"/>
            <w:vMerge w:val="continue"/>
          </w:tcPr>
          <w:p>
            <w:pPr>
              <w:spacing w:after="0"/>
              <w:rPr>
                <w:sz w:val="22"/>
                <w:szCs w:val="22"/>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$260,971</w:t>
            </w:r>
          </w:p>
        </w:tc>
        <w:tc>
          <w:tcPr>
            <w:tcW w:w="100" w:type="dxa"/>
            <w:vAlign w:val="bottom"/>
          </w:tcPr>
          <w:p>
            <w:pPr>
              <w:spacing w:after="0"/>
              <w:rPr>
                <w:sz w:val="22"/>
                <w:szCs w:val="22"/>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$217,781</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320" w:type="dxa"/>
            <w:vAlign w:val="bottom"/>
          </w:tcPr>
          <w:p>
            <w:pPr>
              <w:jc w:val="right"/>
              <w:spacing w:after="0"/>
              <w:rPr>
                <w:sz w:val="20"/>
                <w:szCs w:val="20"/>
                <w:color w:val="auto"/>
              </w:rPr>
            </w:pPr>
            <w:r>
              <w:rPr>
                <w:rFonts w:ascii="Arial" w:cs="Arial" w:eastAsia="Arial" w:hAnsi="Arial"/>
                <w:sz w:val="20"/>
                <w:szCs w:val="20"/>
                <w:color w:val="auto"/>
              </w:rPr>
              <w:t>652,024</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637,615</w:t>
            </w:r>
          </w:p>
        </w:tc>
        <w:tc>
          <w:tcPr>
            <w:tcW w:w="0" w:type="dxa"/>
            <w:vAlign w:val="bottom"/>
          </w:tcPr>
          <w:p>
            <w:pPr>
              <w:spacing w:after="0"/>
              <w:rPr>
                <w:sz w:val="1"/>
                <w:szCs w:val="1"/>
                <w:color w:val="auto"/>
              </w:rPr>
            </w:pPr>
          </w:p>
        </w:tc>
      </w:tr>
      <w:tr>
        <w:trPr>
          <w:trHeight w:val="284"/>
        </w:trPr>
        <w:tc>
          <w:tcPr>
            <w:tcW w:w="6140" w:type="dxa"/>
            <w:vAlign w:val="bottom"/>
          </w:tcPr>
          <w:p>
            <w:pPr>
              <w:spacing w:after="0"/>
              <w:rPr>
                <w:sz w:val="20"/>
                <w:szCs w:val="20"/>
                <w:color w:val="auto"/>
              </w:rPr>
            </w:pPr>
            <w:r>
              <w:rPr>
                <w:rFonts w:ascii="Arial" w:cs="Arial" w:eastAsia="Arial" w:hAnsi="Arial"/>
                <w:sz w:val="20"/>
                <w:szCs w:val="20"/>
                <w:color w:val="auto"/>
              </w:rPr>
              <w:t>Contract assets</w:t>
            </w:r>
          </w:p>
        </w:tc>
        <w:tc>
          <w:tcPr>
            <w:tcW w:w="2320" w:type="dxa"/>
            <w:vAlign w:val="bottom"/>
          </w:tcPr>
          <w:p>
            <w:pPr>
              <w:jc w:val="right"/>
              <w:spacing w:after="0"/>
              <w:rPr>
                <w:sz w:val="20"/>
                <w:szCs w:val="20"/>
                <w:color w:val="auto"/>
              </w:rPr>
            </w:pPr>
            <w:r>
              <w:rPr>
                <w:rFonts w:ascii="Arial" w:cs="Arial" w:eastAsia="Arial" w:hAnsi="Arial"/>
                <w:sz w:val="20"/>
                <w:szCs w:val="20"/>
                <w:color w:val="auto"/>
              </w:rPr>
              <w:t>116,900</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119,257</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Inventories, net</w:t>
            </w:r>
          </w:p>
        </w:tc>
        <w:tc>
          <w:tcPr>
            <w:tcW w:w="2320" w:type="dxa"/>
            <w:vAlign w:val="bottom"/>
          </w:tcPr>
          <w:p>
            <w:pPr>
              <w:jc w:val="right"/>
              <w:spacing w:after="0"/>
              <w:rPr>
                <w:sz w:val="20"/>
                <w:szCs w:val="20"/>
                <w:color w:val="auto"/>
              </w:rPr>
            </w:pPr>
            <w:r>
              <w:rPr>
                <w:rFonts w:ascii="Arial" w:cs="Arial" w:eastAsia="Arial" w:hAnsi="Arial"/>
                <w:sz w:val="20"/>
                <w:szCs w:val="20"/>
                <w:color w:val="auto"/>
              </w:rPr>
              <w:t>1,338,421</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1,295,336</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111,298</w:t>
            </w:r>
          </w:p>
        </w:tc>
        <w:tc>
          <w:tcPr>
            <w:tcW w:w="100" w:type="dxa"/>
            <w:vAlign w:val="bottom"/>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86,377</w:t>
            </w:r>
          </w:p>
        </w:tc>
        <w:tc>
          <w:tcPr>
            <w:tcW w:w="0" w:type="dxa"/>
            <w:vAlign w:val="bottom"/>
          </w:tcPr>
          <w:p>
            <w:pPr>
              <w:spacing w:after="0"/>
              <w:rPr>
                <w:sz w:val="1"/>
                <w:szCs w:val="1"/>
                <w:color w:val="auto"/>
              </w:rPr>
            </w:pPr>
          </w:p>
        </w:tc>
      </w:tr>
      <w:tr>
        <w:trPr>
          <w:trHeight w:val="259"/>
        </w:trPr>
        <w:tc>
          <w:tcPr>
            <w:tcW w:w="6140" w:type="dxa"/>
            <w:vAlign w:val="bottom"/>
          </w:tcPr>
          <w:p>
            <w:pPr>
              <w:ind w:left="320"/>
              <w:spacing w:after="0"/>
              <w:rPr>
                <w:sz w:val="20"/>
                <w:szCs w:val="20"/>
                <w:color w:val="auto"/>
              </w:rPr>
            </w:pPr>
            <w:r>
              <w:rPr>
                <w:rFonts w:ascii="Arial" w:cs="Arial" w:eastAsia="Arial" w:hAnsi="Arial"/>
                <w:sz w:val="20"/>
                <w:szCs w:val="20"/>
                <w:color w:val="auto"/>
              </w:rPr>
              <w:t>Total current assets</w:t>
            </w:r>
          </w:p>
        </w:tc>
        <w:tc>
          <w:tcPr>
            <w:tcW w:w="2320" w:type="dxa"/>
            <w:vAlign w:val="bottom"/>
          </w:tcPr>
          <w:p>
            <w:pPr>
              <w:jc w:val="right"/>
              <w:spacing w:after="0"/>
              <w:rPr>
                <w:sz w:val="20"/>
                <w:szCs w:val="20"/>
                <w:color w:val="auto"/>
              </w:rPr>
            </w:pPr>
            <w:r>
              <w:rPr>
                <w:rFonts w:ascii="Arial" w:cs="Arial" w:eastAsia="Arial" w:hAnsi="Arial"/>
                <w:sz w:val="20"/>
                <w:szCs w:val="20"/>
                <w:color w:val="auto"/>
              </w:rPr>
              <w:t>2,479,614</w:t>
            </w:r>
          </w:p>
        </w:tc>
        <w:tc>
          <w:tcPr>
            <w:tcW w:w="10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2,356,366</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2320" w:type="dxa"/>
            <w:vAlign w:val="bottom"/>
          </w:tcPr>
          <w:p>
            <w:pPr>
              <w:jc w:val="right"/>
              <w:spacing w:after="0"/>
              <w:rPr>
                <w:sz w:val="20"/>
                <w:szCs w:val="20"/>
                <w:color w:val="auto"/>
              </w:rPr>
            </w:pPr>
            <w:r>
              <w:rPr>
                <w:rFonts w:ascii="Arial" w:cs="Arial" w:eastAsia="Arial" w:hAnsi="Arial"/>
                <w:sz w:val="20"/>
                <w:szCs w:val="20"/>
                <w:color w:val="auto"/>
              </w:rPr>
              <w:t>448,992</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431,710</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Goodwill</w:t>
            </w:r>
          </w:p>
        </w:tc>
        <w:tc>
          <w:tcPr>
            <w:tcW w:w="2320" w:type="dxa"/>
            <w:vAlign w:val="bottom"/>
          </w:tcPr>
          <w:p>
            <w:pPr>
              <w:jc w:val="right"/>
              <w:spacing w:after="0"/>
              <w:rPr>
                <w:sz w:val="20"/>
                <w:szCs w:val="20"/>
                <w:color w:val="auto"/>
              </w:rPr>
            </w:pPr>
            <w:r>
              <w:rPr>
                <w:rFonts w:ascii="Arial" w:cs="Arial" w:eastAsia="Arial" w:hAnsi="Arial"/>
                <w:sz w:val="20"/>
                <w:szCs w:val="20"/>
                <w:color w:val="auto"/>
              </w:rPr>
              <w:t>3,905,669</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3,661,624</w:t>
            </w:r>
          </w:p>
        </w:tc>
        <w:tc>
          <w:tcPr>
            <w:tcW w:w="0" w:type="dxa"/>
            <w:vAlign w:val="bottom"/>
          </w:tcPr>
          <w:p>
            <w:pPr>
              <w:spacing w:after="0"/>
              <w:rPr>
                <w:sz w:val="1"/>
                <w:szCs w:val="1"/>
                <w:color w:val="auto"/>
              </w:rPr>
            </w:pPr>
          </w:p>
        </w:tc>
      </w:tr>
      <w:tr>
        <w:trPr>
          <w:trHeight w:val="284"/>
        </w:trPr>
        <w:tc>
          <w:tcPr>
            <w:tcW w:w="6140" w:type="dxa"/>
            <w:vAlign w:val="bottom"/>
          </w:tcPr>
          <w:p>
            <w:pPr>
              <w:spacing w:after="0"/>
              <w:rPr>
                <w:sz w:val="20"/>
                <w:szCs w:val="20"/>
                <w:color w:val="auto"/>
              </w:rPr>
            </w:pPr>
            <w:r>
              <w:rPr>
                <w:rFonts w:ascii="Arial" w:cs="Arial" w:eastAsia="Arial" w:hAnsi="Arial"/>
                <w:sz w:val="20"/>
                <w:szCs w:val="20"/>
                <w:color w:val="auto"/>
              </w:rPr>
              <w:t>Intangible assets, net</w:t>
            </w:r>
          </w:p>
        </w:tc>
        <w:tc>
          <w:tcPr>
            <w:tcW w:w="2320" w:type="dxa"/>
            <w:vAlign w:val="bottom"/>
          </w:tcPr>
          <w:p>
            <w:pPr>
              <w:jc w:val="right"/>
              <w:spacing w:after="0"/>
              <w:rPr>
                <w:sz w:val="20"/>
                <w:szCs w:val="20"/>
                <w:color w:val="auto"/>
              </w:rPr>
            </w:pPr>
            <w:r>
              <w:rPr>
                <w:rFonts w:ascii="Arial" w:cs="Arial" w:eastAsia="Arial" w:hAnsi="Arial"/>
                <w:sz w:val="20"/>
                <w:szCs w:val="20"/>
                <w:color w:val="auto"/>
              </w:rPr>
              <w:t>1,642,001</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1,471,440</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20"/>
                <w:szCs w:val="20"/>
                <w:color w:val="auto"/>
              </w:rPr>
              <w:t>Other assets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567,420</w:t>
            </w:r>
          </w:p>
        </w:tc>
        <w:tc>
          <w:tcPr>
            <w:tcW w:w="100" w:type="dxa"/>
            <w:vAlign w:val="bottom"/>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579,294</w:t>
            </w:r>
          </w:p>
        </w:tc>
        <w:tc>
          <w:tcPr>
            <w:tcW w:w="0" w:type="dxa"/>
            <w:vAlign w:val="bottom"/>
          </w:tcPr>
          <w:p>
            <w:pPr>
              <w:spacing w:after="0"/>
              <w:rPr>
                <w:sz w:val="1"/>
                <w:szCs w:val="1"/>
                <w:color w:val="auto"/>
              </w:rPr>
            </w:pPr>
          </w:p>
        </w:tc>
      </w:tr>
      <w:tr>
        <w:trPr>
          <w:trHeight w:val="253"/>
        </w:trPr>
        <w:tc>
          <w:tcPr>
            <w:tcW w:w="6140" w:type="dxa"/>
            <w:vAlign w:val="bottom"/>
          </w:tcPr>
          <w:p>
            <w:pPr>
              <w:ind w:left="320"/>
              <w:spacing w:after="0"/>
              <w:rPr>
                <w:sz w:val="20"/>
                <w:szCs w:val="20"/>
                <w:color w:val="auto"/>
              </w:rPr>
            </w:pPr>
            <w:r>
              <w:rPr>
                <w:rFonts w:ascii="Arial" w:cs="Arial" w:eastAsia="Arial" w:hAnsi="Arial"/>
                <w:sz w:val="20"/>
                <w:szCs w:val="20"/>
                <w:color w:val="auto"/>
              </w:rPr>
              <w:t>Total assets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$9,043,696</w:t>
            </w:r>
          </w:p>
        </w:tc>
        <w:tc>
          <w:tcPr>
            <w:tcW w:w="100" w:type="dxa"/>
            <w:vAlign w:val="bottom"/>
          </w:tcPr>
          <w:p>
            <w:pPr>
              <w:spacing w:after="0"/>
              <w:rPr>
                <w:sz w:val="22"/>
                <w:szCs w:val="22"/>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$8,500,434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20"/>
                <w:szCs w:val="20"/>
                <w:color w:val="auto"/>
              </w:rPr>
              <w:t>Current maturities of long-term debt</w:t>
            </w: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6140" w:type="dxa"/>
            <w:vAlign w:val="bottom"/>
            <w:vMerge w:val="continue"/>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0"/>
                <w:szCs w:val="20"/>
                <w:color w:val="auto"/>
              </w:rPr>
              <w:t>$3,396</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$3,358</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807,204</w:t>
            </w:r>
          </w:p>
        </w:tc>
        <w:tc>
          <w:tcPr>
            <w:tcW w:w="100" w:type="dxa"/>
            <w:vAlign w:val="bottom"/>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828,646</w:t>
            </w:r>
          </w:p>
        </w:tc>
        <w:tc>
          <w:tcPr>
            <w:tcW w:w="0" w:type="dxa"/>
            <w:vAlign w:val="bottom"/>
          </w:tcPr>
          <w:p>
            <w:pPr>
              <w:spacing w:after="0"/>
              <w:rPr>
                <w:sz w:val="1"/>
                <w:szCs w:val="1"/>
                <w:color w:val="auto"/>
              </w:rPr>
            </w:pPr>
          </w:p>
        </w:tc>
      </w:tr>
      <w:tr>
        <w:trPr>
          <w:trHeight w:val="259"/>
        </w:trPr>
        <w:tc>
          <w:tcPr>
            <w:tcW w:w="6140" w:type="dxa"/>
            <w:vAlign w:val="bottom"/>
          </w:tcPr>
          <w:p>
            <w:pPr>
              <w:ind w:left="320"/>
              <w:spacing w:after="0"/>
              <w:rPr>
                <w:sz w:val="20"/>
                <w:szCs w:val="20"/>
                <w:color w:val="auto"/>
              </w:rPr>
            </w:pPr>
            <w:r>
              <w:rPr>
                <w:rFonts w:ascii="Arial" w:cs="Arial" w:eastAsia="Arial" w:hAnsi="Arial"/>
                <w:sz w:val="20"/>
                <w:szCs w:val="20"/>
                <w:color w:val="auto"/>
              </w:rPr>
              <w:t>Total current liabilities</w:t>
            </w:r>
          </w:p>
        </w:tc>
        <w:tc>
          <w:tcPr>
            <w:tcW w:w="2320" w:type="dxa"/>
            <w:vAlign w:val="bottom"/>
          </w:tcPr>
          <w:p>
            <w:pPr>
              <w:jc w:val="right"/>
              <w:spacing w:after="0"/>
              <w:rPr>
                <w:sz w:val="20"/>
                <w:szCs w:val="20"/>
                <w:color w:val="auto"/>
              </w:rPr>
            </w:pPr>
            <w:r>
              <w:rPr>
                <w:rFonts w:ascii="Arial" w:cs="Arial" w:eastAsia="Arial" w:hAnsi="Arial"/>
                <w:sz w:val="20"/>
                <w:szCs w:val="20"/>
                <w:color w:val="auto"/>
              </w:rPr>
              <w:t>810,600</w:t>
            </w:r>
          </w:p>
        </w:tc>
        <w:tc>
          <w:tcPr>
            <w:tcW w:w="10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832,004</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Long-term debt, net of current maturities</w:t>
            </w:r>
          </w:p>
        </w:tc>
        <w:tc>
          <w:tcPr>
            <w:tcW w:w="2320" w:type="dxa"/>
            <w:vAlign w:val="bottom"/>
          </w:tcPr>
          <w:p>
            <w:pPr>
              <w:jc w:val="right"/>
              <w:spacing w:after="0"/>
              <w:rPr>
                <w:sz w:val="20"/>
                <w:szCs w:val="20"/>
                <w:color w:val="auto"/>
              </w:rPr>
            </w:pPr>
            <w:r>
              <w:rPr>
                <w:rFonts w:ascii="Arial" w:cs="Arial" w:eastAsia="Arial" w:hAnsi="Arial"/>
                <w:sz w:val="20"/>
                <w:szCs w:val="20"/>
                <w:color w:val="auto"/>
              </w:rPr>
              <w:t>2,504,285</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2,164,587</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Arial" w:cs="Arial" w:eastAsia="Arial" w:hAnsi="Arial"/>
                <w:sz w:val="20"/>
                <w:szCs w:val="20"/>
                <w:color w:val="auto"/>
              </w:rPr>
              <w:t>Deferred income taxes</w:t>
            </w:r>
          </w:p>
        </w:tc>
        <w:tc>
          <w:tcPr>
            <w:tcW w:w="2320" w:type="dxa"/>
            <w:vAlign w:val="bottom"/>
          </w:tcPr>
          <w:p>
            <w:pPr>
              <w:jc w:val="right"/>
              <w:spacing w:after="0"/>
              <w:rPr>
                <w:sz w:val="20"/>
                <w:szCs w:val="20"/>
                <w:color w:val="auto"/>
              </w:rPr>
            </w:pPr>
            <w:r>
              <w:rPr>
                <w:rFonts w:ascii="Arial" w:cs="Arial" w:eastAsia="Arial" w:hAnsi="Arial"/>
                <w:sz w:val="20"/>
                <w:szCs w:val="20"/>
                <w:color w:val="auto"/>
              </w:rPr>
              <w:t>148,056</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107,186</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535,026</w:t>
            </w:r>
          </w:p>
        </w:tc>
        <w:tc>
          <w:tcPr>
            <w:tcW w:w="100" w:type="dxa"/>
            <w:vAlign w:val="bottom"/>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550,124</w:t>
            </w:r>
          </w:p>
        </w:tc>
        <w:tc>
          <w:tcPr>
            <w:tcW w:w="0" w:type="dxa"/>
            <w:vAlign w:val="bottom"/>
          </w:tcPr>
          <w:p>
            <w:pPr>
              <w:spacing w:after="0"/>
              <w:rPr>
                <w:sz w:val="1"/>
                <w:szCs w:val="1"/>
                <w:color w:val="auto"/>
              </w:rPr>
            </w:pPr>
          </w:p>
        </w:tc>
      </w:tr>
      <w:tr>
        <w:trPr>
          <w:trHeight w:val="259"/>
        </w:trPr>
        <w:tc>
          <w:tcPr>
            <w:tcW w:w="6140" w:type="dxa"/>
            <w:vAlign w:val="bottom"/>
          </w:tcPr>
          <w:p>
            <w:pPr>
              <w:ind w:left="320"/>
              <w:spacing w:after="0"/>
              <w:rPr>
                <w:sz w:val="20"/>
                <w:szCs w:val="20"/>
                <w:color w:val="auto"/>
              </w:rPr>
            </w:pPr>
            <w:r>
              <w:rPr>
                <w:rFonts w:ascii="Arial" w:cs="Arial" w:eastAsia="Arial" w:hAnsi="Arial"/>
                <w:sz w:val="20"/>
                <w:szCs w:val="20"/>
                <w:color w:val="auto"/>
              </w:rPr>
              <w:t>Total liabilities</w:t>
            </w:r>
          </w:p>
        </w:tc>
        <w:tc>
          <w:tcPr>
            <w:tcW w:w="2320" w:type="dxa"/>
            <w:vAlign w:val="bottom"/>
          </w:tcPr>
          <w:p>
            <w:pPr>
              <w:jc w:val="right"/>
              <w:spacing w:after="0"/>
              <w:rPr>
                <w:sz w:val="20"/>
                <w:szCs w:val="20"/>
                <w:color w:val="auto"/>
              </w:rPr>
            </w:pPr>
            <w:r>
              <w:rPr>
                <w:rFonts w:ascii="Arial" w:cs="Arial" w:eastAsia="Arial" w:hAnsi="Arial"/>
                <w:sz w:val="20"/>
                <w:szCs w:val="20"/>
                <w:color w:val="auto"/>
              </w:rPr>
              <w:t>3,997,967</w:t>
            </w:r>
          </w:p>
        </w:tc>
        <w:tc>
          <w:tcPr>
            <w:tcW w:w="10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3,653,901</w:t>
            </w:r>
          </w:p>
        </w:tc>
        <w:tc>
          <w:tcPr>
            <w:tcW w:w="0" w:type="dxa"/>
            <w:vAlign w:val="bottom"/>
          </w:tcPr>
          <w:p>
            <w:pPr>
              <w:spacing w:after="0"/>
              <w:rPr>
                <w:sz w:val="1"/>
                <w:szCs w:val="1"/>
                <w:color w:val="auto"/>
              </w:rPr>
            </w:pPr>
          </w:p>
        </w:tc>
      </w:tr>
      <w:tr>
        <w:trPr>
          <w:trHeight w:val="284"/>
        </w:trPr>
        <w:tc>
          <w:tcPr>
            <w:tcW w:w="6140" w:type="dxa"/>
            <w:vAlign w:val="bottom"/>
          </w:tcPr>
          <w:p>
            <w:pPr>
              <w:spacing w:after="0"/>
              <w:rPr>
                <w:sz w:val="20"/>
                <w:szCs w:val="20"/>
                <w:color w:val="auto"/>
              </w:rPr>
            </w:pPr>
            <w:r>
              <w:rPr>
                <w:rFonts w:ascii="Arial" w:cs="Arial" w:eastAsia="Arial" w:hAnsi="Arial"/>
                <w:sz w:val="20"/>
                <w:szCs w:val="20"/>
                <w:color w:val="auto"/>
              </w:rPr>
              <w:t>Redeemable noncontrolling interests</w:t>
            </w:r>
          </w:p>
        </w:tc>
        <w:tc>
          <w:tcPr>
            <w:tcW w:w="2320" w:type="dxa"/>
            <w:vAlign w:val="bottom"/>
          </w:tcPr>
          <w:p>
            <w:pPr>
              <w:jc w:val="right"/>
              <w:spacing w:after="0"/>
              <w:rPr>
                <w:sz w:val="20"/>
                <w:szCs w:val="20"/>
                <w:color w:val="auto"/>
              </w:rPr>
            </w:pPr>
            <w:r>
              <w:rPr>
                <w:rFonts w:ascii="Arial" w:cs="Arial" w:eastAsia="Arial" w:hAnsi="Arial"/>
                <w:sz w:val="20"/>
                <w:szCs w:val="20"/>
                <w:color w:val="auto"/>
              </w:rPr>
              <w:t>464,581</w:t>
            </w:r>
          </w:p>
        </w:tc>
        <w:tc>
          <w:tcPr>
            <w:tcW w:w="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0"/>
                <w:szCs w:val="20"/>
                <w:color w:val="auto"/>
              </w:rPr>
              <w:t>467,358</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Arial" w:cs="Arial" w:eastAsia="Arial" w:hAnsi="Arial"/>
                <w:sz w:val="20"/>
                <w:szCs w:val="20"/>
                <w:color w:val="auto"/>
              </w:rPr>
              <w:t>Shareholders’ equity</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4,581,148</w:t>
            </w:r>
          </w:p>
        </w:tc>
        <w:tc>
          <w:tcPr>
            <w:tcW w:w="100" w:type="dxa"/>
            <w:vAlign w:val="bottom"/>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4,379,175</w:t>
            </w:r>
          </w:p>
        </w:tc>
        <w:tc>
          <w:tcPr>
            <w:tcW w:w="0" w:type="dxa"/>
            <w:vAlign w:val="bottom"/>
          </w:tcPr>
          <w:p>
            <w:pPr>
              <w:spacing w:after="0"/>
              <w:rPr>
                <w:sz w:val="1"/>
                <w:szCs w:val="1"/>
                <w:color w:val="auto"/>
              </w:rPr>
            </w:pPr>
          </w:p>
        </w:tc>
      </w:tr>
      <w:tr>
        <w:trPr>
          <w:trHeight w:val="253"/>
        </w:trPr>
        <w:tc>
          <w:tcPr>
            <w:tcW w:w="6140" w:type="dxa"/>
            <w:vAlign w:val="bottom"/>
          </w:tcPr>
          <w:p>
            <w:pPr>
              <w:ind w:left="320"/>
              <w:spacing w:after="0"/>
              <w:rPr>
                <w:sz w:val="20"/>
                <w:szCs w:val="20"/>
                <w:color w:val="auto"/>
              </w:rPr>
            </w:pPr>
            <w:r>
              <w:rPr>
                <w:rFonts w:ascii="Arial" w:cs="Arial" w:eastAsia="Arial" w:hAnsi="Arial"/>
                <w:sz w:val="20"/>
                <w:szCs w:val="20"/>
                <w:color w:val="auto"/>
              </w:rPr>
              <w:t>Total liabilities and equity</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$9,043,696</w:t>
            </w:r>
          </w:p>
        </w:tc>
        <w:tc>
          <w:tcPr>
            <w:tcW w:w="100" w:type="dxa"/>
            <w:vAlign w:val="bottom"/>
          </w:tcPr>
          <w:p>
            <w:pPr>
              <w:spacing w:after="0"/>
              <w:rPr>
                <w:sz w:val="22"/>
                <w:szCs w:val="22"/>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$8,500,434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-more-</w:t>
      </w:r>
    </w:p>
    <w:p>
      <w:pPr>
        <w:sectPr>
          <w:pgSz w:w="11900" w:h="16838" w:orient="portrait"/>
          <w:cols w:equalWidth="0" w:num="1">
            <w:col w:w="11200"/>
          </w:cols>
          <w:pgMar w:left="320" w:top="1421"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O CORPORATION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ensed Consolidated Statements of Cash Flows </w:t>
      </w:r>
      <w:r>
        <w:rPr>
          <w:rFonts w:ascii="Arial" w:cs="Arial" w:eastAsia="Arial" w:hAnsi="Arial"/>
          <w:sz w:val="22"/>
          <w:szCs w:val="22"/>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ousands)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7160" w:type="dxa"/>
            <w:vAlign w:val="bottom"/>
          </w:tcPr>
          <w:p>
            <w:pPr>
              <w:spacing w:after="0"/>
              <w:rPr>
                <w:sz w:val="23"/>
                <w:szCs w:val="23"/>
                <w:color w:val="auto"/>
              </w:rPr>
            </w:pPr>
          </w:p>
        </w:tc>
        <w:tc>
          <w:tcPr>
            <w:tcW w:w="4060" w:type="dxa"/>
            <w:vAlign w:val="bottom"/>
            <w:gridSpan w:val="3"/>
          </w:tcPr>
          <w:p>
            <w:pPr>
              <w:jc w:val="right"/>
              <w:ind w:right="381"/>
              <w:spacing w:after="0"/>
              <w:rPr>
                <w:sz w:val="20"/>
                <w:szCs w:val="20"/>
                <w:color w:val="auto"/>
              </w:rPr>
            </w:pPr>
            <w:r>
              <w:rPr>
                <w:rFonts w:ascii="Arial" w:cs="Arial" w:eastAsia="Arial" w:hAnsi="Arial"/>
                <w:sz w:val="20"/>
                <w:szCs w:val="20"/>
                <w:b w:val="1"/>
                <w:bCs w:val="1"/>
                <w:color w:val="auto"/>
              </w:rPr>
              <w:t>Three Months Ended January 31,</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160" w:type="dxa"/>
            <w:vAlign w:val="bottom"/>
            <w:vMerge w:val="restart"/>
          </w:tcPr>
          <w:p>
            <w:pPr>
              <w:ind w:left="40"/>
              <w:spacing w:after="0"/>
              <w:rPr>
                <w:sz w:val="20"/>
                <w:szCs w:val="20"/>
                <w:color w:val="auto"/>
              </w:rPr>
            </w:pPr>
            <w:r>
              <w:rPr>
                <w:rFonts w:ascii="Arial" w:cs="Arial" w:eastAsia="Arial" w:hAnsi="Arial"/>
                <w:sz w:val="20"/>
                <w:szCs w:val="20"/>
                <w:color w:val="auto"/>
              </w:rPr>
              <w:t>Operating Activities:</w:t>
            </w:r>
          </w:p>
        </w:tc>
        <w:tc>
          <w:tcPr>
            <w:tcW w:w="19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2026</w:t>
            </w:r>
          </w:p>
        </w:tc>
        <w:tc>
          <w:tcPr>
            <w:tcW w:w="260" w:type="dxa"/>
            <w:vAlign w:val="bottom"/>
          </w:tcPr>
          <w:p>
            <w:pPr>
              <w:spacing w:after="0"/>
              <w:rPr>
                <w:sz w:val="21"/>
                <w:szCs w:val="21"/>
                <w:color w:val="auto"/>
              </w:rPr>
            </w:pPr>
          </w:p>
        </w:tc>
        <w:tc>
          <w:tcPr>
            <w:tcW w:w="19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33"/>
        </w:trPr>
        <w:tc>
          <w:tcPr>
            <w:tcW w:w="716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160" w:type="dxa"/>
            <w:vAlign w:val="bottom"/>
          </w:tcPr>
          <w:p>
            <w:pPr>
              <w:ind w:left="280"/>
              <w:spacing w:after="0"/>
              <w:rPr>
                <w:sz w:val="20"/>
                <w:szCs w:val="20"/>
                <w:color w:val="auto"/>
              </w:rPr>
            </w:pPr>
            <w:r>
              <w:rPr>
                <w:rFonts w:ascii="Arial" w:cs="Arial" w:eastAsia="Arial" w:hAnsi="Arial"/>
                <w:sz w:val="20"/>
                <w:szCs w:val="20"/>
                <w:color w:val="auto"/>
              </w:rPr>
              <w:t>Net income from consolidated operations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$204,757</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$181,566</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Depreciation and amortization</w:t>
            </w:r>
          </w:p>
        </w:tc>
        <w:tc>
          <w:tcPr>
            <w:tcW w:w="1900" w:type="dxa"/>
            <w:vAlign w:val="bottom"/>
          </w:tcPr>
          <w:p>
            <w:pPr>
              <w:jc w:val="right"/>
              <w:spacing w:after="0"/>
              <w:rPr>
                <w:sz w:val="20"/>
                <w:szCs w:val="20"/>
                <w:color w:val="auto"/>
              </w:rPr>
            </w:pPr>
            <w:r>
              <w:rPr>
                <w:rFonts w:ascii="Arial" w:cs="Arial" w:eastAsia="Arial" w:hAnsi="Arial"/>
                <w:sz w:val="20"/>
                <w:szCs w:val="20"/>
                <w:color w:val="auto"/>
              </w:rPr>
              <w:t>51,008</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46,225</w:t>
            </w:r>
          </w:p>
        </w:tc>
        <w:tc>
          <w:tcPr>
            <w:tcW w:w="0" w:type="dxa"/>
            <w:vAlign w:val="bottom"/>
          </w:tcPr>
          <w:p>
            <w:pPr>
              <w:spacing w:after="0"/>
              <w:rPr>
                <w:sz w:val="1"/>
                <w:szCs w:val="1"/>
                <w:color w:val="auto"/>
              </w:rPr>
            </w:pPr>
          </w:p>
        </w:tc>
      </w:tr>
      <w:tr>
        <w:trPr>
          <w:trHeight w:val="284"/>
        </w:trPr>
        <w:tc>
          <w:tcPr>
            <w:tcW w:w="7160" w:type="dxa"/>
            <w:vAlign w:val="bottom"/>
          </w:tcPr>
          <w:p>
            <w:pPr>
              <w:ind w:left="280"/>
              <w:spacing w:after="0"/>
              <w:rPr>
                <w:sz w:val="20"/>
                <w:szCs w:val="20"/>
                <w:color w:val="auto"/>
              </w:rPr>
            </w:pPr>
            <w:r>
              <w:rPr>
                <w:rFonts w:ascii="Arial" w:cs="Arial" w:eastAsia="Arial" w:hAnsi="Arial"/>
                <w:sz w:val="20"/>
                <w:szCs w:val="20"/>
                <w:color w:val="auto"/>
              </w:rPr>
              <w:t>Share-based compensation expense</w:t>
            </w:r>
          </w:p>
        </w:tc>
        <w:tc>
          <w:tcPr>
            <w:tcW w:w="1900" w:type="dxa"/>
            <w:vAlign w:val="bottom"/>
          </w:tcPr>
          <w:p>
            <w:pPr>
              <w:jc w:val="right"/>
              <w:spacing w:after="0"/>
              <w:rPr>
                <w:sz w:val="20"/>
                <w:szCs w:val="20"/>
                <w:color w:val="auto"/>
              </w:rPr>
            </w:pPr>
            <w:r>
              <w:rPr>
                <w:rFonts w:ascii="Arial" w:cs="Arial" w:eastAsia="Arial" w:hAnsi="Arial"/>
                <w:sz w:val="20"/>
                <w:szCs w:val="20"/>
                <w:color w:val="auto"/>
              </w:rPr>
              <w:t>11,296</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4,671</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Deferred income tax provision (benefit)</w:t>
            </w:r>
          </w:p>
        </w:tc>
        <w:tc>
          <w:tcPr>
            <w:tcW w:w="1900" w:type="dxa"/>
            <w:vAlign w:val="bottom"/>
          </w:tcPr>
          <w:p>
            <w:pPr>
              <w:jc w:val="right"/>
              <w:spacing w:after="0"/>
              <w:rPr>
                <w:sz w:val="20"/>
                <w:szCs w:val="20"/>
                <w:color w:val="auto"/>
              </w:rPr>
            </w:pPr>
            <w:r>
              <w:rPr>
                <w:rFonts w:ascii="Arial" w:cs="Arial" w:eastAsia="Arial" w:hAnsi="Arial"/>
                <w:sz w:val="20"/>
                <w:szCs w:val="20"/>
                <w:color w:val="auto"/>
              </w:rPr>
              <w:t>7,480</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(7,052)</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Employer contributions to HEICO Savings and Investment Plan</w:t>
            </w:r>
          </w:p>
        </w:tc>
        <w:tc>
          <w:tcPr>
            <w:tcW w:w="1900" w:type="dxa"/>
            <w:vAlign w:val="bottom"/>
          </w:tcPr>
          <w:p>
            <w:pPr>
              <w:jc w:val="right"/>
              <w:spacing w:after="0"/>
              <w:rPr>
                <w:sz w:val="20"/>
                <w:szCs w:val="20"/>
                <w:color w:val="auto"/>
              </w:rPr>
            </w:pPr>
            <w:r>
              <w:rPr>
                <w:rFonts w:ascii="Arial" w:cs="Arial" w:eastAsia="Arial" w:hAnsi="Arial"/>
                <w:sz w:val="20"/>
                <w:szCs w:val="20"/>
                <w:color w:val="auto"/>
              </w:rPr>
              <w:t>5,901</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5,473</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Increase in accrued contingent consideration</w:t>
            </w:r>
          </w:p>
        </w:tc>
        <w:tc>
          <w:tcPr>
            <w:tcW w:w="1900" w:type="dxa"/>
            <w:vAlign w:val="bottom"/>
          </w:tcPr>
          <w:p>
            <w:pPr>
              <w:jc w:val="right"/>
              <w:spacing w:after="0"/>
              <w:rPr>
                <w:sz w:val="20"/>
                <w:szCs w:val="20"/>
                <w:color w:val="auto"/>
              </w:rPr>
            </w:pPr>
            <w:r>
              <w:rPr>
                <w:rFonts w:ascii="Arial" w:cs="Arial" w:eastAsia="Arial" w:hAnsi="Arial"/>
                <w:sz w:val="20"/>
                <w:szCs w:val="20"/>
                <w:color w:val="auto"/>
              </w:rPr>
              <w:t>2,225</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3,288</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Payment of contingent consideration</w:t>
            </w:r>
          </w:p>
        </w:tc>
        <w:tc>
          <w:tcPr>
            <w:tcW w:w="2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(2,190)</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(Increase) decrease in accounts receivable</w:t>
            </w:r>
          </w:p>
        </w:tc>
        <w:tc>
          <w:tcPr>
            <w:tcW w:w="1900" w:type="dxa"/>
            <w:vAlign w:val="bottom"/>
          </w:tcPr>
          <w:p>
            <w:pPr>
              <w:jc w:val="right"/>
              <w:spacing w:after="0"/>
              <w:rPr>
                <w:sz w:val="20"/>
                <w:szCs w:val="20"/>
                <w:color w:val="auto"/>
              </w:rPr>
            </w:pPr>
            <w:r>
              <w:rPr>
                <w:rFonts w:ascii="Arial" w:cs="Arial" w:eastAsia="Arial" w:hAnsi="Arial"/>
                <w:sz w:val="20"/>
                <w:szCs w:val="20"/>
                <w:color w:val="auto"/>
              </w:rPr>
              <w:t>(5,262)</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20,062</w:t>
            </w:r>
          </w:p>
        </w:tc>
        <w:tc>
          <w:tcPr>
            <w:tcW w:w="0" w:type="dxa"/>
            <w:vAlign w:val="bottom"/>
          </w:tcPr>
          <w:p>
            <w:pPr>
              <w:spacing w:after="0"/>
              <w:rPr>
                <w:sz w:val="1"/>
                <w:szCs w:val="1"/>
                <w:color w:val="auto"/>
              </w:rPr>
            </w:pPr>
          </w:p>
        </w:tc>
      </w:tr>
      <w:tr>
        <w:trPr>
          <w:trHeight w:val="284"/>
        </w:trPr>
        <w:tc>
          <w:tcPr>
            <w:tcW w:w="7160" w:type="dxa"/>
            <w:vAlign w:val="bottom"/>
          </w:tcPr>
          <w:p>
            <w:pPr>
              <w:ind w:left="280"/>
              <w:spacing w:after="0"/>
              <w:rPr>
                <w:sz w:val="20"/>
                <w:szCs w:val="20"/>
                <w:color w:val="auto"/>
              </w:rPr>
            </w:pPr>
            <w:r>
              <w:rPr>
                <w:rFonts w:ascii="Arial" w:cs="Arial" w:eastAsia="Arial" w:hAnsi="Arial"/>
                <w:sz w:val="20"/>
                <w:szCs w:val="20"/>
                <w:color w:val="auto"/>
              </w:rPr>
              <w:t>Decrease (increase) in contract assets</w:t>
            </w:r>
          </w:p>
        </w:tc>
        <w:tc>
          <w:tcPr>
            <w:tcW w:w="1900" w:type="dxa"/>
            <w:vAlign w:val="bottom"/>
          </w:tcPr>
          <w:p>
            <w:pPr>
              <w:jc w:val="right"/>
              <w:spacing w:after="0"/>
              <w:rPr>
                <w:sz w:val="20"/>
                <w:szCs w:val="20"/>
                <w:color w:val="auto"/>
              </w:rPr>
            </w:pPr>
            <w:r>
              <w:rPr>
                <w:rFonts w:ascii="Arial" w:cs="Arial" w:eastAsia="Arial" w:hAnsi="Arial"/>
                <w:sz w:val="20"/>
                <w:szCs w:val="20"/>
                <w:color w:val="auto"/>
              </w:rPr>
              <w:t>3,753</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(5,949)</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Increase in inventories</w:t>
            </w:r>
          </w:p>
        </w:tc>
        <w:tc>
          <w:tcPr>
            <w:tcW w:w="1900" w:type="dxa"/>
            <w:vAlign w:val="bottom"/>
          </w:tcPr>
          <w:p>
            <w:pPr>
              <w:jc w:val="right"/>
              <w:spacing w:after="0"/>
              <w:rPr>
                <w:sz w:val="20"/>
                <w:szCs w:val="20"/>
                <w:color w:val="auto"/>
              </w:rPr>
            </w:pPr>
            <w:r>
              <w:rPr>
                <w:rFonts w:ascii="Arial" w:cs="Arial" w:eastAsia="Arial" w:hAnsi="Arial"/>
                <w:sz w:val="20"/>
                <w:szCs w:val="20"/>
                <w:color w:val="auto"/>
              </w:rPr>
              <w:t>(17,101)</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(36,207)</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Decrease in current liabilities</w:t>
            </w:r>
          </w:p>
        </w:tc>
        <w:tc>
          <w:tcPr>
            <w:tcW w:w="1900" w:type="dxa"/>
            <w:vAlign w:val="bottom"/>
          </w:tcPr>
          <w:p>
            <w:pPr>
              <w:jc w:val="right"/>
              <w:spacing w:after="0"/>
              <w:rPr>
                <w:sz w:val="20"/>
                <w:szCs w:val="20"/>
                <w:color w:val="auto"/>
              </w:rPr>
            </w:pPr>
            <w:r>
              <w:rPr>
                <w:rFonts w:ascii="Arial" w:cs="Arial" w:eastAsia="Arial" w:hAnsi="Arial"/>
                <w:sz w:val="20"/>
                <w:szCs w:val="20"/>
                <w:color w:val="auto"/>
              </w:rPr>
              <w:t>(92,868)</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(36,622)</w:t>
            </w:r>
          </w:p>
        </w:tc>
        <w:tc>
          <w:tcPr>
            <w:tcW w:w="0" w:type="dxa"/>
            <w:vAlign w:val="bottom"/>
          </w:tcPr>
          <w:p>
            <w:pPr>
              <w:spacing w:after="0"/>
              <w:rPr>
                <w:sz w:val="1"/>
                <w:szCs w:val="1"/>
                <w:color w:val="auto"/>
              </w:rPr>
            </w:pPr>
          </w:p>
        </w:tc>
      </w:tr>
      <w:tr>
        <w:trPr>
          <w:trHeight w:val="288"/>
        </w:trPr>
        <w:tc>
          <w:tcPr>
            <w:tcW w:w="7160" w:type="dxa"/>
            <w:vAlign w:val="bottom"/>
          </w:tcPr>
          <w:p>
            <w:pPr>
              <w:ind w:left="280"/>
              <w:spacing w:after="0"/>
              <w:rPr>
                <w:sz w:val="20"/>
                <w:szCs w:val="20"/>
                <w:color w:val="auto"/>
              </w:rPr>
            </w:pPr>
            <w:r>
              <w:rPr>
                <w:rFonts w:ascii="Arial" w:cs="Arial" w:eastAsia="Arial" w:hAnsi="Arial"/>
                <w:sz w:val="20"/>
                <w:szCs w:val="20"/>
                <w:color w:val="auto"/>
              </w:rPr>
              <w:t>Other</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7,408</w:t>
            </w:r>
          </w:p>
        </w:tc>
        <w:tc>
          <w:tcPr>
            <w:tcW w:w="2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29,769</w:t>
            </w:r>
          </w:p>
        </w:tc>
        <w:tc>
          <w:tcPr>
            <w:tcW w:w="0" w:type="dxa"/>
            <w:vAlign w:val="bottom"/>
          </w:tcPr>
          <w:p>
            <w:pPr>
              <w:spacing w:after="0"/>
              <w:rPr>
                <w:sz w:val="1"/>
                <w:szCs w:val="1"/>
                <w:color w:val="auto"/>
              </w:rPr>
            </w:pPr>
          </w:p>
        </w:tc>
      </w:tr>
      <w:tr>
        <w:trPr>
          <w:trHeight w:val="263"/>
        </w:trPr>
        <w:tc>
          <w:tcPr>
            <w:tcW w:w="7160" w:type="dxa"/>
            <w:vAlign w:val="bottom"/>
          </w:tcPr>
          <w:p>
            <w:pPr>
              <w:ind w:left="460"/>
              <w:spacing w:after="0"/>
              <w:rPr>
                <w:sz w:val="20"/>
                <w:szCs w:val="20"/>
                <w:color w:val="auto"/>
              </w:rPr>
            </w:pPr>
            <w:r>
              <w:rPr>
                <w:rFonts w:ascii="Arial" w:cs="Arial" w:eastAsia="Arial" w:hAnsi="Arial"/>
                <w:sz w:val="20"/>
                <w:szCs w:val="20"/>
                <w:color w:val="auto"/>
              </w:rPr>
              <w:t>Net cash provided by operating activities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178,597</w:t>
            </w:r>
          </w:p>
        </w:tc>
        <w:tc>
          <w:tcPr>
            <w:tcW w:w="260" w:type="dxa"/>
            <w:vAlign w:val="bottom"/>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203,034</w:t>
            </w:r>
          </w:p>
        </w:tc>
        <w:tc>
          <w:tcPr>
            <w:tcW w:w="0" w:type="dxa"/>
            <w:vAlign w:val="bottom"/>
          </w:tcPr>
          <w:p>
            <w:pPr>
              <w:spacing w:after="0"/>
              <w:rPr>
                <w:sz w:val="1"/>
                <w:szCs w:val="1"/>
                <w:color w:val="auto"/>
              </w:rPr>
            </w:pPr>
          </w:p>
        </w:tc>
      </w:tr>
      <w:tr>
        <w:trPr>
          <w:trHeight w:val="493"/>
        </w:trPr>
        <w:tc>
          <w:tcPr>
            <w:tcW w:w="7160" w:type="dxa"/>
            <w:vAlign w:val="bottom"/>
          </w:tcPr>
          <w:p>
            <w:pPr>
              <w:ind w:left="40"/>
              <w:spacing w:after="0"/>
              <w:rPr>
                <w:sz w:val="20"/>
                <w:szCs w:val="20"/>
                <w:color w:val="auto"/>
              </w:rPr>
            </w:pPr>
            <w:r>
              <w:rPr>
                <w:rFonts w:ascii="Arial" w:cs="Arial" w:eastAsia="Arial" w:hAnsi="Arial"/>
                <w:sz w:val="20"/>
                <w:szCs w:val="20"/>
                <w:color w:val="auto"/>
              </w:rPr>
              <w:t>Investing Activities:</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160" w:type="dxa"/>
            <w:vAlign w:val="bottom"/>
          </w:tcPr>
          <w:p>
            <w:pPr>
              <w:ind w:left="280"/>
              <w:spacing w:after="0"/>
              <w:rPr>
                <w:sz w:val="20"/>
                <w:szCs w:val="20"/>
                <w:color w:val="auto"/>
              </w:rPr>
            </w:pPr>
            <w:r>
              <w:rPr>
                <w:rFonts w:ascii="Arial" w:cs="Arial" w:eastAsia="Arial" w:hAnsi="Arial"/>
                <w:sz w:val="20"/>
                <w:szCs w:val="20"/>
                <w:color w:val="auto"/>
              </w:rPr>
              <w:t>Acquisitions, net of cash acquired</w:t>
            </w:r>
          </w:p>
        </w:tc>
        <w:tc>
          <w:tcPr>
            <w:tcW w:w="1900" w:type="dxa"/>
            <w:vAlign w:val="bottom"/>
          </w:tcPr>
          <w:p>
            <w:pPr>
              <w:jc w:val="right"/>
              <w:spacing w:after="0"/>
              <w:rPr>
                <w:sz w:val="20"/>
                <w:szCs w:val="20"/>
                <w:color w:val="auto"/>
              </w:rPr>
            </w:pPr>
            <w:r>
              <w:rPr>
                <w:rFonts w:ascii="Arial" w:cs="Arial" w:eastAsia="Arial" w:hAnsi="Arial"/>
                <w:sz w:val="20"/>
                <w:szCs w:val="20"/>
                <w:color w:val="auto"/>
              </w:rPr>
              <w:t>(441,397)</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(254,763)</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Investments related to HEICO Leadership Compensation Plan</w:t>
            </w:r>
          </w:p>
        </w:tc>
        <w:tc>
          <w:tcPr>
            <w:tcW w:w="1900" w:type="dxa"/>
            <w:vAlign w:val="bottom"/>
          </w:tcPr>
          <w:p>
            <w:pPr>
              <w:jc w:val="right"/>
              <w:spacing w:after="0"/>
              <w:rPr>
                <w:sz w:val="20"/>
                <w:szCs w:val="20"/>
                <w:color w:val="auto"/>
              </w:rPr>
            </w:pPr>
            <w:r>
              <w:rPr>
                <w:rFonts w:ascii="Arial" w:cs="Arial" w:eastAsia="Arial" w:hAnsi="Arial"/>
                <w:sz w:val="20"/>
                <w:szCs w:val="20"/>
                <w:color w:val="auto"/>
              </w:rPr>
              <w:t>(14,000)</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(14,600)</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Capital expenditures</w:t>
            </w:r>
          </w:p>
        </w:tc>
        <w:tc>
          <w:tcPr>
            <w:tcW w:w="1900" w:type="dxa"/>
            <w:vAlign w:val="bottom"/>
          </w:tcPr>
          <w:p>
            <w:pPr>
              <w:jc w:val="right"/>
              <w:spacing w:after="0"/>
              <w:rPr>
                <w:sz w:val="20"/>
                <w:szCs w:val="20"/>
                <w:color w:val="auto"/>
              </w:rPr>
            </w:pPr>
            <w:r>
              <w:rPr>
                <w:rFonts w:ascii="Arial" w:cs="Arial" w:eastAsia="Arial" w:hAnsi="Arial"/>
                <w:sz w:val="20"/>
                <w:szCs w:val="20"/>
                <w:color w:val="auto"/>
              </w:rPr>
              <w:t>(13,496)</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(17,335)</w:t>
            </w:r>
          </w:p>
        </w:tc>
        <w:tc>
          <w:tcPr>
            <w:tcW w:w="0" w:type="dxa"/>
            <w:vAlign w:val="bottom"/>
          </w:tcPr>
          <w:p>
            <w:pPr>
              <w:spacing w:after="0"/>
              <w:rPr>
                <w:sz w:val="1"/>
                <w:szCs w:val="1"/>
                <w:color w:val="auto"/>
              </w:rPr>
            </w:pPr>
          </w:p>
        </w:tc>
      </w:tr>
      <w:tr>
        <w:trPr>
          <w:trHeight w:val="257"/>
        </w:trPr>
        <w:tc>
          <w:tcPr>
            <w:tcW w:w="7160" w:type="dxa"/>
            <w:vAlign w:val="bottom"/>
          </w:tcPr>
          <w:p>
            <w:pPr>
              <w:ind w:left="280"/>
              <w:spacing w:after="0"/>
              <w:rPr>
                <w:sz w:val="20"/>
                <w:szCs w:val="20"/>
                <w:color w:val="auto"/>
              </w:rPr>
            </w:pPr>
            <w:r>
              <w:rPr>
                <w:rFonts w:ascii="Arial" w:cs="Arial" w:eastAsia="Arial" w:hAnsi="Arial"/>
                <w:sz w:val="20"/>
                <w:szCs w:val="20"/>
                <w:color w:val="auto"/>
              </w:rPr>
              <w:t>Proceeds from corporate-owned life insurance policy withdrawals</w:t>
            </w:r>
          </w:p>
        </w:tc>
        <w:tc>
          <w:tcPr>
            <w:tcW w:w="1900" w:type="dxa"/>
            <w:vAlign w:val="bottom"/>
          </w:tcPr>
          <w:p>
            <w:pPr>
              <w:jc w:val="right"/>
              <w:spacing w:after="0"/>
              <w:rPr>
                <w:sz w:val="20"/>
                <w:szCs w:val="20"/>
                <w:color w:val="auto"/>
              </w:rPr>
            </w:pPr>
            <w:r>
              <w:rPr>
                <w:rFonts w:ascii="Arial" w:cs="Arial" w:eastAsia="Arial" w:hAnsi="Arial"/>
                <w:sz w:val="20"/>
                <w:szCs w:val="20"/>
                <w:color w:val="auto"/>
              </w:rPr>
              <w:t>22,654</w:t>
            </w:r>
          </w:p>
        </w:tc>
        <w:tc>
          <w:tcPr>
            <w:tcW w:w="2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7160" w:type="dxa"/>
            <w:vAlign w:val="bottom"/>
          </w:tcPr>
          <w:p>
            <w:pPr>
              <w:ind w:left="280"/>
              <w:spacing w:after="0"/>
              <w:rPr>
                <w:sz w:val="20"/>
                <w:szCs w:val="20"/>
                <w:color w:val="auto"/>
              </w:rPr>
            </w:pPr>
            <w:r>
              <w:rPr>
                <w:rFonts w:ascii="Arial" w:cs="Arial" w:eastAsia="Arial" w:hAnsi="Arial"/>
                <w:sz w:val="20"/>
                <w:szCs w:val="20"/>
                <w:color w:val="auto"/>
              </w:rPr>
              <w:t>Other</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(728)</w:t>
            </w:r>
          </w:p>
        </w:tc>
        <w:tc>
          <w:tcPr>
            <w:tcW w:w="2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(1,297)</w:t>
            </w:r>
          </w:p>
        </w:tc>
        <w:tc>
          <w:tcPr>
            <w:tcW w:w="0" w:type="dxa"/>
            <w:vAlign w:val="bottom"/>
          </w:tcPr>
          <w:p>
            <w:pPr>
              <w:spacing w:after="0"/>
              <w:rPr>
                <w:sz w:val="1"/>
                <w:szCs w:val="1"/>
                <w:color w:val="auto"/>
              </w:rPr>
            </w:pPr>
          </w:p>
        </w:tc>
      </w:tr>
      <w:tr>
        <w:trPr>
          <w:trHeight w:val="264"/>
        </w:trPr>
        <w:tc>
          <w:tcPr>
            <w:tcW w:w="7160" w:type="dxa"/>
            <w:vAlign w:val="bottom"/>
          </w:tcPr>
          <w:p>
            <w:pPr>
              <w:ind w:left="460"/>
              <w:spacing w:after="0"/>
              <w:rPr>
                <w:sz w:val="20"/>
                <w:szCs w:val="20"/>
                <w:color w:val="auto"/>
              </w:rPr>
            </w:pPr>
            <w:r>
              <w:rPr>
                <w:rFonts w:ascii="Arial" w:cs="Arial" w:eastAsia="Arial" w:hAnsi="Arial"/>
                <w:sz w:val="20"/>
                <w:szCs w:val="20"/>
                <w:color w:val="auto"/>
              </w:rPr>
              <w:t>Net cash used in investing activities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(446,967)</w:t>
            </w:r>
          </w:p>
        </w:tc>
        <w:tc>
          <w:tcPr>
            <w:tcW w:w="260" w:type="dxa"/>
            <w:vAlign w:val="bottom"/>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(287,995)</w:t>
            </w:r>
          </w:p>
        </w:tc>
        <w:tc>
          <w:tcPr>
            <w:tcW w:w="0" w:type="dxa"/>
            <w:vAlign w:val="bottom"/>
          </w:tcPr>
          <w:p>
            <w:pPr>
              <w:spacing w:after="0"/>
              <w:rPr>
                <w:sz w:val="1"/>
                <w:szCs w:val="1"/>
                <w:color w:val="auto"/>
              </w:rPr>
            </w:pPr>
          </w:p>
        </w:tc>
      </w:tr>
      <w:tr>
        <w:trPr>
          <w:trHeight w:val="493"/>
        </w:trPr>
        <w:tc>
          <w:tcPr>
            <w:tcW w:w="7160" w:type="dxa"/>
            <w:vAlign w:val="bottom"/>
          </w:tcPr>
          <w:p>
            <w:pPr>
              <w:ind w:left="40"/>
              <w:spacing w:after="0"/>
              <w:rPr>
                <w:sz w:val="20"/>
                <w:szCs w:val="20"/>
                <w:color w:val="auto"/>
              </w:rPr>
            </w:pPr>
            <w:r>
              <w:rPr>
                <w:rFonts w:ascii="Arial" w:cs="Arial" w:eastAsia="Arial" w:hAnsi="Arial"/>
                <w:sz w:val="20"/>
                <w:szCs w:val="20"/>
                <w:color w:val="auto"/>
              </w:rPr>
              <w:t>Financing Activities:</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160" w:type="dxa"/>
            <w:vAlign w:val="bottom"/>
          </w:tcPr>
          <w:p>
            <w:pPr>
              <w:ind w:left="280"/>
              <w:spacing w:after="0"/>
              <w:rPr>
                <w:sz w:val="20"/>
                <w:szCs w:val="20"/>
                <w:color w:val="auto"/>
              </w:rPr>
            </w:pPr>
            <w:r>
              <w:rPr>
                <w:rFonts w:ascii="Arial" w:cs="Arial" w:eastAsia="Arial" w:hAnsi="Arial"/>
                <w:sz w:val="20"/>
                <w:szCs w:val="20"/>
                <w:color w:val="auto"/>
              </w:rPr>
              <w:t>Borrowings on revolving credit facility, net</w:t>
            </w:r>
          </w:p>
        </w:tc>
        <w:tc>
          <w:tcPr>
            <w:tcW w:w="1900" w:type="dxa"/>
            <w:vAlign w:val="bottom"/>
          </w:tcPr>
          <w:p>
            <w:pPr>
              <w:jc w:val="right"/>
              <w:spacing w:after="0"/>
              <w:rPr>
                <w:sz w:val="20"/>
                <w:szCs w:val="20"/>
                <w:color w:val="auto"/>
              </w:rPr>
            </w:pPr>
            <w:r>
              <w:rPr>
                <w:rFonts w:ascii="Arial" w:cs="Arial" w:eastAsia="Arial" w:hAnsi="Arial"/>
                <w:sz w:val="20"/>
                <w:szCs w:val="20"/>
                <w:color w:val="auto"/>
              </w:rPr>
              <w:t>340,000</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125,000</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Cash dividends paid</w:t>
            </w:r>
          </w:p>
        </w:tc>
        <w:tc>
          <w:tcPr>
            <w:tcW w:w="1900" w:type="dxa"/>
            <w:vAlign w:val="bottom"/>
          </w:tcPr>
          <w:p>
            <w:pPr>
              <w:jc w:val="right"/>
              <w:spacing w:after="0"/>
              <w:rPr>
                <w:sz w:val="20"/>
                <w:szCs w:val="20"/>
                <w:color w:val="auto"/>
              </w:rPr>
            </w:pPr>
            <w:r>
              <w:rPr>
                <w:rFonts w:ascii="Arial" w:cs="Arial" w:eastAsia="Arial" w:hAnsi="Arial"/>
                <w:sz w:val="20"/>
                <w:szCs w:val="20"/>
                <w:color w:val="auto"/>
              </w:rPr>
              <w:t>(16,724)</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(15,272)</w:t>
            </w:r>
          </w:p>
        </w:tc>
        <w:tc>
          <w:tcPr>
            <w:tcW w:w="0" w:type="dxa"/>
            <w:vAlign w:val="bottom"/>
          </w:tcPr>
          <w:p>
            <w:pPr>
              <w:spacing w:after="0"/>
              <w:rPr>
                <w:sz w:val="1"/>
                <w:szCs w:val="1"/>
                <w:color w:val="auto"/>
              </w:rPr>
            </w:pPr>
          </w:p>
        </w:tc>
      </w:tr>
      <w:tr>
        <w:trPr>
          <w:trHeight w:val="284"/>
        </w:trPr>
        <w:tc>
          <w:tcPr>
            <w:tcW w:w="7160" w:type="dxa"/>
            <w:vAlign w:val="bottom"/>
          </w:tcPr>
          <w:p>
            <w:pPr>
              <w:ind w:left="280"/>
              <w:spacing w:after="0"/>
              <w:rPr>
                <w:sz w:val="20"/>
                <w:szCs w:val="20"/>
                <w:color w:val="auto"/>
              </w:rPr>
            </w:pPr>
            <w:r>
              <w:rPr>
                <w:rFonts w:ascii="Arial" w:cs="Arial" w:eastAsia="Arial" w:hAnsi="Arial"/>
                <w:sz w:val="20"/>
                <w:szCs w:val="20"/>
                <w:color w:val="auto"/>
              </w:rPr>
              <w:t>Distributions to noncontrolling interests</w:t>
            </w:r>
          </w:p>
        </w:tc>
        <w:tc>
          <w:tcPr>
            <w:tcW w:w="1900" w:type="dxa"/>
            <w:vAlign w:val="bottom"/>
          </w:tcPr>
          <w:p>
            <w:pPr>
              <w:jc w:val="right"/>
              <w:spacing w:after="0"/>
              <w:rPr>
                <w:sz w:val="20"/>
                <w:szCs w:val="20"/>
                <w:color w:val="auto"/>
              </w:rPr>
            </w:pPr>
            <w:r>
              <w:rPr>
                <w:rFonts w:ascii="Arial" w:cs="Arial" w:eastAsia="Arial" w:hAnsi="Arial"/>
                <w:sz w:val="20"/>
                <w:szCs w:val="20"/>
                <w:color w:val="auto"/>
              </w:rPr>
              <w:t>(7,181)</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(10,236)</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Redemptions of common stock related to stock option exercises</w:t>
            </w:r>
          </w:p>
        </w:tc>
        <w:tc>
          <w:tcPr>
            <w:tcW w:w="1900" w:type="dxa"/>
            <w:vAlign w:val="bottom"/>
          </w:tcPr>
          <w:p>
            <w:pPr>
              <w:jc w:val="right"/>
              <w:spacing w:after="0"/>
              <w:rPr>
                <w:sz w:val="20"/>
                <w:szCs w:val="20"/>
                <w:color w:val="auto"/>
              </w:rPr>
            </w:pPr>
            <w:r>
              <w:rPr>
                <w:rFonts w:ascii="Arial" w:cs="Arial" w:eastAsia="Arial" w:hAnsi="Arial"/>
                <w:sz w:val="20"/>
                <w:szCs w:val="20"/>
                <w:color w:val="auto"/>
              </w:rPr>
              <w:t>(4,531)</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Acquisitions of noncontrolling interests</w:t>
            </w:r>
          </w:p>
        </w:tc>
        <w:tc>
          <w:tcPr>
            <w:tcW w:w="1900" w:type="dxa"/>
            <w:vAlign w:val="bottom"/>
          </w:tcPr>
          <w:p>
            <w:pPr>
              <w:jc w:val="right"/>
              <w:spacing w:after="0"/>
              <w:rPr>
                <w:sz w:val="20"/>
                <w:szCs w:val="20"/>
                <w:color w:val="auto"/>
              </w:rPr>
            </w:pPr>
            <w:r>
              <w:rPr>
                <w:rFonts w:ascii="Arial" w:cs="Arial" w:eastAsia="Arial" w:hAnsi="Arial"/>
                <w:sz w:val="20"/>
                <w:szCs w:val="20"/>
                <w:color w:val="auto"/>
              </w:rPr>
              <w:t>(4,072)</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(3,258)</w:t>
            </w:r>
          </w:p>
        </w:tc>
        <w:tc>
          <w:tcPr>
            <w:tcW w:w="0" w:type="dxa"/>
            <w:vAlign w:val="bottom"/>
          </w:tcPr>
          <w:p>
            <w:pPr>
              <w:spacing w:after="0"/>
              <w:rPr>
                <w:sz w:val="1"/>
                <w:szCs w:val="1"/>
                <w:color w:val="auto"/>
              </w:rPr>
            </w:pPr>
          </w:p>
        </w:tc>
      </w:tr>
      <w:tr>
        <w:trPr>
          <w:trHeight w:val="284"/>
        </w:trPr>
        <w:tc>
          <w:tcPr>
            <w:tcW w:w="7160" w:type="dxa"/>
            <w:vAlign w:val="bottom"/>
          </w:tcPr>
          <w:p>
            <w:pPr>
              <w:ind w:left="280"/>
              <w:spacing w:after="0"/>
              <w:rPr>
                <w:sz w:val="20"/>
                <w:szCs w:val="20"/>
                <w:color w:val="auto"/>
              </w:rPr>
            </w:pPr>
            <w:r>
              <w:rPr>
                <w:rFonts w:ascii="Arial" w:cs="Arial" w:eastAsia="Arial" w:hAnsi="Arial"/>
                <w:sz w:val="20"/>
                <w:szCs w:val="20"/>
                <w:color w:val="auto"/>
              </w:rPr>
              <w:t>Payment of contingent consideration</w:t>
            </w:r>
          </w:p>
        </w:tc>
        <w:tc>
          <w:tcPr>
            <w:tcW w:w="2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(5,954)</w:t>
            </w:r>
          </w:p>
        </w:tc>
        <w:tc>
          <w:tcPr>
            <w:tcW w:w="0" w:type="dxa"/>
            <w:vAlign w:val="bottom"/>
          </w:tcPr>
          <w:p>
            <w:pPr>
              <w:spacing w:after="0"/>
              <w:rPr>
                <w:sz w:val="1"/>
                <w:szCs w:val="1"/>
                <w:color w:val="auto"/>
              </w:rPr>
            </w:pPr>
          </w:p>
        </w:tc>
      </w:tr>
      <w:tr>
        <w:trPr>
          <w:trHeight w:val="283"/>
        </w:trPr>
        <w:tc>
          <w:tcPr>
            <w:tcW w:w="7160" w:type="dxa"/>
            <w:vAlign w:val="bottom"/>
          </w:tcPr>
          <w:p>
            <w:pPr>
              <w:ind w:left="280"/>
              <w:spacing w:after="0"/>
              <w:rPr>
                <w:sz w:val="20"/>
                <w:szCs w:val="20"/>
                <w:color w:val="auto"/>
              </w:rPr>
            </w:pPr>
            <w:r>
              <w:rPr>
                <w:rFonts w:ascii="Arial" w:cs="Arial" w:eastAsia="Arial" w:hAnsi="Arial"/>
                <w:sz w:val="20"/>
                <w:szCs w:val="20"/>
                <w:color w:val="auto"/>
              </w:rPr>
              <w:t>Proceeds from stock option exercises</w:t>
            </w:r>
          </w:p>
        </w:tc>
        <w:tc>
          <w:tcPr>
            <w:tcW w:w="1900" w:type="dxa"/>
            <w:vAlign w:val="bottom"/>
          </w:tcPr>
          <w:p>
            <w:pPr>
              <w:jc w:val="right"/>
              <w:spacing w:after="0"/>
              <w:rPr>
                <w:sz w:val="20"/>
                <w:szCs w:val="20"/>
                <w:color w:val="auto"/>
              </w:rPr>
            </w:pPr>
            <w:r>
              <w:rPr>
                <w:rFonts w:ascii="Arial" w:cs="Arial" w:eastAsia="Arial" w:hAnsi="Arial"/>
                <w:sz w:val="20"/>
                <w:szCs w:val="20"/>
                <w:color w:val="auto"/>
              </w:rPr>
              <w:t>2,896</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1,597</w:t>
            </w:r>
          </w:p>
        </w:tc>
        <w:tc>
          <w:tcPr>
            <w:tcW w:w="0" w:type="dxa"/>
            <w:vAlign w:val="bottom"/>
          </w:tcPr>
          <w:p>
            <w:pPr>
              <w:spacing w:after="0"/>
              <w:rPr>
                <w:sz w:val="1"/>
                <w:szCs w:val="1"/>
                <w:color w:val="auto"/>
              </w:rPr>
            </w:pPr>
          </w:p>
        </w:tc>
      </w:tr>
      <w:tr>
        <w:trPr>
          <w:trHeight w:val="288"/>
        </w:trPr>
        <w:tc>
          <w:tcPr>
            <w:tcW w:w="7160" w:type="dxa"/>
            <w:vAlign w:val="bottom"/>
          </w:tcPr>
          <w:p>
            <w:pPr>
              <w:ind w:left="280"/>
              <w:spacing w:after="0"/>
              <w:rPr>
                <w:sz w:val="20"/>
                <w:szCs w:val="20"/>
                <w:color w:val="auto"/>
              </w:rPr>
            </w:pPr>
            <w:r>
              <w:rPr>
                <w:rFonts w:ascii="Arial" w:cs="Arial" w:eastAsia="Arial" w:hAnsi="Arial"/>
                <w:sz w:val="20"/>
                <w:szCs w:val="20"/>
                <w:color w:val="auto"/>
              </w:rPr>
              <w:t>Other</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(812)</w:t>
            </w:r>
          </w:p>
        </w:tc>
        <w:tc>
          <w:tcPr>
            <w:tcW w:w="2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w:t>
            </w:r>
          </w:p>
        </w:tc>
        <w:tc>
          <w:tcPr>
            <w:tcW w:w="0" w:type="dxa"/>
            <w:vAlign w:val="bottom"/>
          </w:tcPr>
          <w:p>
            <w:pPr>
              <w:spacing w:after="0"/>
              <w:rPr>
                <w:sz w:val="1"/>
                <w:szCs w:val="1"/>
                <w:color w:val="auto"/>
              </w:rPr>
            </w:pPr>
          </w:p>
        </w:tc>
      </w:tr>
      <w:tr>
        <w:trPr>
          <w:trHeight w:val="264"/>
        </w:trPr>
        <w:tc>
          <w:tcPr>
            <w:tcW w:w="7160" w:type="dxa"/>
            <w:vAlign w:val="bottom"/>
          </w:tcPr>
          <w:p>
            <w:pPr>
              <w:ind w:left="460"/>
              <w:spacing w:after="0"/>
              <w:rPr>
                <w:sz w:val="20"/>
                <w:szCs w:val="20"/>
                <w:color w:val="auto"/>
              </w:rPr>
            </w:pPr>
            <w:r>
              <w:rPr>
                <w:rFonts w:ascii="Arial" w:cs="Arial" w:eastAsia="Arial" w:hAnsi="Arial"/>
                <w:sz w:val="20"/>
                <w:szCs w:val="20"/>
                <w:color w:val="auto"/>
              </w:rPr>
              <w:t>Net cash provided by financing activities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309,576</w:t>
            </w:r>
          </w:p>
        </w:tc>
        <w:tc>
          <w:tcPr>
            <w:tcW w:w="260" w:type="dxa"/>
            <w:vAlign w:val="bottom"/>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90,712</w:t>
            </w:r>
          </w:p>
        </w:tc>
        <w:tc>
          <w:tcPr>
            <w:tcW w:w="0" w:type="dxa"/>
            <w:vAlign w:val="bottom"/>
          </w:tcPr>
          <w:p>
            <w:pPr>
              <w:spacing w:after="0"/>
              <w:rPr>
                <w:sz w:val="1"/>
                <w:szCs w:val="1"/>
                <w:color w:val="auto"/>
              </w:rPr>
            </w:pPr>
          </w:p>
        </w:tc>
      </w:tr>
      <w:tr>
        <w:trPr>
          <w:trHeight w:val="520"/>
        </w:trPr>
        <w:tc>
          <w:tcPr>
            <w:tcW w:w="7160" w:type="dxa"/>
            <w:vAlign w:val="bottom"/>
          </w:tcPr>
          <w:p>
            <w:pPr>
              <w:spacing w:after="0"/>
              <w:rPr>
                <w:sz w:val="20"/>
                <w:szCs w:val="20"/>
                <w:color w:val="auto"/>
              </w:rPr>
            </w:pPr>
            <w:r>
              <w:rPr>
                <w:rFonts w:ascii="Arial" w:cs="Arial" w:eastAsia="Arial" w:hAnsi="Arial"/>
                <w:sz w:val="20"/>
                <w:szCs w:val="20"/>
                <w:color w:val="auto"/>
              </w:rPr>
              <w:t>Effect of exchange rate changes on cash</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1,984</w:t>
            </w:r>
          </w:p>
        </w:tc>
        <w:tc>
          <w:tcPr>
            <w:tcW w:w="2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(2,387)</w:t>
            </w:r>
          </w:p>
        </w:tc>
        <w:tc>
          <w:tcPr>
            <w:tcW w:w="0" w:type="dxa"/>
            <w:vAlign w:val="bottom"/>
          </w:tcPr>
          <w:p>
            <w:pPr>
              <w:spacing w:after="0"/>
              <w:rPr>
                <w:sz w:val="1"/>
                <w:szCs w:val="1"/>
                <w:color w:val="auto"/>
              </w:rPr>
            </w:pPr>
          </w:p>
        </w:tc>
      </w:tr>
      <w:tr>
        <w:trPr>
          <w:trHeight w:val="515"/>
        </w:trPr>
        <w:tc>
          <w:tcPr>
            <w:tcW w:w="7160" w:type="dxa"/>
            <w:vAlign w:val="bottom"/>
          </w:tcPr>
          <w:p>
            <w:pPr>
              <w:spacing w:after="0"/>
              <w:rPr>
                <w:sz w:val="20"/>
                <w:szCs w:val="20"/>
                <w:color w:val="auto"/>
              </w:rPr>
            </w:pPr>
            <w:r>
              <w:rPr>
                <w:rFonts w:ascii="Arial" w:cs="Arial" w:eastAsia="Arial" w:hAnsi="Arial"/>
                <w:sz w:val="20"/>
                <w:szCs w:val="20"/>
                <w:color w:val="auto"/>
              </w:rPr>
              <w:t>Net increase in cash and cash equivalents</w:t>
            </w:r>
          </w:p>
        </w:tc>
        <w:tc>
          <w:tcPr>
            <w:tcW w:w="1900" w:type="dxa"/>
            <w:vAlign w:val="bottom"/>
          </w:tcPr>
          <w:p>
            <w:pPr>
              <w:jc w:val="right"/>
              <w:spacing w:after="0"/>
              <w:rPr>
                <w:sz w:val="20"/>
                <w:szCs w:val="20"/>
                <w:color w:val="auto"/>
              </w:rPr>
            </w:pPr>
            <w:r>
              <w:rPr>
                <w:rFonts w:ascii="Arial" w:cs="Arial" w:eastAsia="Arial" w:hAnsi="Arial"/>
                <w:sz w:val="20"/>
                <w:szCs w:val="20"/>
                <w:color w:val="auto"/>
              </w:rPr>
              <w:t>43,190</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3,364</w:t>
            </w:r>
          </w:p>
        </w:tc>
        <w:tc>
          <w:tcPr>
            <w:tcW w:w="0" w:type="dxa"/>
            <w:vAlign w:val="bottom"/>
          </w:tcPr>
          <w:p>
            <w:pPr>
              <w:spacing w:after="0"/>
              <w:rPr>
                <w:sz w:val="1"/>
                <w:szCs w:val="1"/>
                <w:color w:val="auto"/>
              </w:rPr>
            </w:pPr>
          </w:p>
        </w:tc>
      </w:tr>
      <w:tr>
        <w:trPr>
          <w:trHeight w:val="288"/>
        </w:trPr>
        <w:tc>
          <w:tcPr>
            <w:tcW w:w="7160" w:type="dxa"/>
            <w:vAlign w:val="bottom"/>
          </w:tcPr>
          <w:p>
            <w:pPr>
              <w:spacing w:after="0"/>
              <w:rPr>
                <w:sz w:val="20"/>
                <w:szCs w:val="20"/>
                <w:color w:val="auto"/>
              </w:rPr>
            </w:pPr>
            <w:r>
              <w:rPr>
                <w:rFonts w:ascii="Arial" w:cs="Arial" w:eastAsia="Arial" w:hAnsi="Arial"/>
                <w:sz w:val="20"/>
                <w:szCs w:val="20"/>
                <w:color w:val="auto"/>
              </w:rPr>
              <w:t>Cash and cash equivalents at beginning of year</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217,781</w:t>
            </w:r>
          </w:p>
        </w:tc>
        <w:tc>
          <w:tcPr>
            <w:tcW w:w="2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162,103</w:t>
            </w:r>
          </w:p>
        </w:tc>
        <w:tc>
          <w:tcPr>
            <w:tcW w:w="0" w:type="dxa"/>
            <w:vAlign w:val="bottom"/>
          </w:tcPr>
          <w:p>
            <w:pPr>
              <w:spacing w:after="0"/>
              <w:rPr>
                <w:sz w:val="1"/>
                <w:szCs w:val="1"/>
                <w:color w:val="auto"/>
              </w:rPr>
            </w:pPr>
          </w:p>
        </w:tc>
      </w:tr>
      <w:tr>
        <w:trPr>
          <w:trHeight w:val="254"/>
        </w:trPr>
        <w:tc>
          <w:tcPr>
            <w:tcW w:w="7160" w:type="dxa"/>
            <w:vAlign w:val="bottom"/>
          </w:tcPr>
          <w:p>
            <w:pPr>
              <w:spacing w:after="0"/>
              <w:rPr>
                <w:sz w:val="20"/>
                <w:szCs w:val="20"/>
                <w:color w:val="auto"/>
              </w:rPr>
            </w:pPr>
            <w:r>
              <w:rPr>
                <w:rFonts w:ascii="Arial" w:cs="Arial" w:eastAsia="Arial" w:hAnsi="Arial"/>
                <w:sz w:val="20"/>
                <w:szCs w:val="20"/>
                <w:color w:val="auto"/>
              </w:rPr>
              <w:t>Cash and cash equivalents at end of period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$260,971</w:t>
            </w:r>
          </w:p>
        </w:tc>
        <w:tc>
          <w:tcPr>
            <w:tcW w:w="260" w:type="dxa"/>
            <w:vAlign w:val="bottom"/>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$165,467</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20" w:top="1421" w:right="339" w:bottom="8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340"/>
          </w:cols>
          <w:pgMar w:left="220" w:top="1421" w:right="339" w:bottom="827"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EICO CORPORATION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on-GAAP Financial Measures </w:t>
      </w:r>
      <w:r>
        <w:rPr>
          <w:rFonts w:ascii="Arial" w:cs="Arial" w:eastAsia="Arial" w:hAnsi="Arial"/>
          <w:sz w:val="21"/>
          <w:szCs w:val="21"/>
          <w:color w:val="auto"/>
        </w:rPr>
        <w:t>(Unaudited)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 thousands, except ratios)</w:t>
      </w:r>
    </w:p>
    <w:p>
      <w:pPr>
        <w:sectPr>
          <w:pgSz w:w="11900" w:h="16838" w:orient="portrait"/>
          <w:cols w:equalWidth="0" w:num="1">
            <w:col w:w="11340"/>
          </w:cols>
          <w:pgMar w:left="2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EBITDA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15875</wp:posOffset>
            </wp:positionV>
            <wp:extent cx="3968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Net income attributable to HEICO</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Depreciation and amortization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Net income attributable to noncontrolling interests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Interest expense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Income tax expense</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EBITDA </w:t>
      </w:r>
      <w:r>
        <w:rPr>
          <w:rFonts w:ascii="Arial" w:cs="Arial" w:eastAsia="Arial" w:hAnsi="Arial"/>
          <w:sz w:val="24"/>
          <w:szCs w:val="24"/>
          <w:color w:val="auto"/>
          <w:vertAlign w:val="superscript"/>
        </w:rPr>
        <w:t>(a)</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EBITDA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15875</wp:posOffset>
            </wp:positionV>
            <wp:extent cx="3968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Net income attributable to HEICO</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Depreciation and amortization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Net income attributable to noncontrolling interests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Interest expense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Plus: Income tax expense</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EBITDA </w:t>
      </w:r>
      <w:r>
        <w:rPr>
          <w:rFonts w:ascii="Arial" w:cs="Arial" w:eastAsia="Arial" w:hAnsi="Arial"/>
          <w:sz w:val="24"/>
          <w:szCs w:val="24"/>
          <w:color w:val="auto"/>
          <w:vertAlign w:val="superscript"/>
        </w:rPr>
        <w: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Net Debt Calculation</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Three Months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2026</w:t>
            </w:r>
          </w:p>
        </w:tc>
        <w:tc>
          <w:tcPr>
            <w:tcW w:w="320" w:type="dxa"/>
            <w:vAlign w:val="bottom"/>
            <w:tcBorders>
              <w:top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9"/>
                <w:szCs w:val="19"/>
                <w:b w:val="1"/>
                <w:bCs w:val="1"/>
                <w:color w:val="auto"/>
              </w:rPr>
              <w:t>2025</w:t>
            </w:r>
          </w:p>
        </w:tc>
      </w:tr>
      <w:tr>
        <w:trPr>
          <w:trHeight w:val="236"/>
        </w:trPr>
        <w:tc>
          <w:tcPr>
            <w:tcW w:w="2160" w:type="dxa"/>
            <w:vAlign w:val="bottom"/>
          </w:tcPr>
          <w:p>
            <w:pPr>
              <w:jc w:val="right"/>
              <w:spacing w:after="0"/>
              <w:rPr>
                <w:sz w:val="20"/>
                <w:szCs w:val="20"/>
                <w:color w:val="auto"/>
              </w:rPr>
            </w:pPr>
            <w:r>
              <w:rPr>
                <w:rFonts w:ascii="Arial" w:cs="Arial" w:eastAsia="Arial" w:hAnsi="Arial"/>
                <w:sz w:val="19"/>
                <w:szCs w:val="19"/>
                <w:color w:val="auto"/>
              </w:rPr>
              <w:t>$190,188</w:t>
            </w:r>
          </w:p>
        </w:tc>
        <w:tc>
          <w:tcPr>
            <w:tcW w:w="3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$167,955</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51,008</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46,225</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14,569</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13,611</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29,486</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32,458</w:t>
            </w:r>
          </w:p>
        </w:tc>
      </w:tr>
      <w:tr>
        <w:trPr>
          <w:trHeight w:val="24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26,700</w:t>
            </w:r>
          </w:p>
        </w:tc>
        <w:tc>
          <w:tcPr>
            <w:tcW w:w="3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13,700</w:t>
            </w:r>
          </w:p>
        </w:tc>
      </w:tr>
      <w:tr>
        <w:trPr>
          <w:trHeight w:val="236"/>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$311,951</w:t>
            </w:r>
          </w:p>
        </w:tc>
        <w:tc>
          <w:tcPr>
            <w:tcW w:w="3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$273,949</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466"/>
        </w:trPr>
        <w:tc>
          <w:tcPr>
            <w:tcW w:w="4640" w:type="dxa"/>
            <w:vAlign w:val="bottom"/>
            <w:tcBorders>
              <w:bottom w:val="single" w:sz="8" w:color="auto"/>
            </w:tcBorders>
            <w:gridSpan w:val="3"/>
          </w:tcPr>
          <w:p>
            <w:pPr>
              <w:jc w:val="right"/>
              <w:ind w:right="866"/>
              <w:spacing w:after="0"/>
              <w:rPr>
                <w:sz w:val="20"/>
                <w:szCs w:val="20"/>
                <w:color w:val="auto"/>
              </w:rPr>
            </w:pPr>
            <w:r>
              <w:rPr>
                <w:rFonts w:ascii="Arial" w:cs="Arial" w:eastAsia="Arial" w:hAnsi="Arial"/>
                <w:sz w:val="19"/>
                <w:szCs w:val="19"/>
                <w:b w:val="1"/>
                <w:bCs w:val="1"/>
                <w:color w:val="auto"/>
              </w:rPr>
              <w:t>Trailing Twelve Months Ended</w:t>
            </w:r>
          </w:p>
        </w:tc>
      </w:tr>
      <w:tr>
        <w:trPr>
          <w:trHeight w:val="237"/>
        </w:trPr>
        <w:tc>
          <w:tcPr>
            <w:tcW w:w="2480" w:type="dxa"/>
            <w:vAlign w:val="bottom"/>
            <w:gridSpan w:val="2"/>
          </w:tcPr>
          <w:p>
            <w:pPr>
              <w:jc w:val="center"/>
              <w:ind w:right="300"/>
              <w:spacing w:after="0"/>
              <w:rPr>
                <w:sz w:val="20"/>
                <w:szCs w:val="20"/>
                <w:color w:val="auto"/>
              </w:rPr>
            </w:pPr>
            <w:r>
              <w:rPr>
                <w:rFonts w:ascii="Arial" w:cs="Arial" w:eastAsia="Arial" w:hAnsi="Arial"/>
                <w:sz w:val="19"/>
                <w:szCs w:val="19"/>
                <w:b w:val="1"/>
                <w:bCs w:val="1"/>
                <w:color w:val="auto"/>
                <w:w w:val="98"/>
              </w:rPr>
              <w:t>January 31, 2026</w:t>
            </w:r>
          </w:p>
        </w:tc>
        <w:tc>
          <w:tcPr>
            <w:tcW w:w="2160" w:type="dxa"/>
            <w:vAlign w:val="bottom"/>
          </w:tcPr>
          <w:p>
            <w:pPr>
              <w:jc w:val="center"/>
              <w:spacing w:after="0"/>
              <w:rPr>
                <w:sz w:val="20"/>
                <w:szCs w:val="20"/>
                <w:color w:val="auto"/>
              </w:rPr>
            </w:pPr>
            <w:r>
              <w:rPr>
                <w:rFonts w:ascii="Arial" w:cs="Arial" w:eastAsia="Arial" w:hAnsi="Arial"/>
                <w:sz w:val="19"/>
                <w:szCs w:val="19"/>
                <w:b w:val="1"/>
                <w:bCs w:val="1"/>
                <w:color w:val="auto"/>
                <w:w w:val="99"/>
              </w:rPr>
              <w:t>October 31, 2025</w:t>
            </w:r>
          </w:p>
        </w:tc>
      </w:tr>
      <w:tr>
        <w:trPr>
          <w:trHeight w:val="236"/>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$712,618</w:t>
            </w:r>
          </w:p>
        </w:tc>
        <w:tc>
          <w:tcPr>
            <w:tcW w:w="32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$690,385</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200,859</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196,076</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56,127</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55,169</w:t>
            </w:r>
          </w:p>
        </w:tc>
      </w:tr>
      <w:tr>
        <w:trPr>
          <w:trHeight w:val="243"/>
        </w:trPr>
        <w:tc>
          <w:tcPr>
            <w:tcW w:w="2160" w:type="dxa"/>
            <w:vAlign w:val="bottom"/>
          </w:tcPr>
          <w:p>
            <w:pPr>
              <w:jc w:val="right"/>
              <w:spacing w:after="0"/>
              <w:rPr>
                <w:sz w:val="20"/>
                <w:szCs w:val="20"/>
                <w:color w:val="auto"/>
              </w:rPr>
            </w:pPr>
            <w:r>
              <w:rPr>
                <w:rFonts w:ascii="Arial" w:cs="Arial" w:eastAsia="Arial" w:hAnsi="Arial"/>
                <w:sz w:val="19"/>
                <w:szCs w:val="19"/>
                <w:color w:val="auto"/>
              </w:rPr>
              <w:t>126,905</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129,877</w:t>
            </w:r>
          </w:p>
        </w:tc>
      </w:tr>
      <w:tr>
        <w:trPr>
          <w:trHeight w:val="24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161,000</w:t>
            </w:r>
          </w:p>
        </w:tc>
        <w:tc>
          <w:tcPr>
            <w:tcW w:w="3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148,000</w:t>
            </w:r>
          </w:p>
        </w:tc>
      </w:tr>
      <w:tr>
        <w:trPr>
          <w:trHeight w:val="237"/>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$1,257,509</w:t>
            </w:r>
          </w:p>
        </w:tc>
        <w:tc>
          <w:tcPr>
            <w:tcW w:w="3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$1,219,507</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466"/>
        </w:trPr>
        <w:tc>
          <w:tcPr>
            <w:tcW w:w="2480" w:type="dxa"/>
            <w:vAlign w:val="bottom"/>
            <w:gridSpan w:val="2"/>
          </w:tcPr>
          <w:p>
            <w:pPr>
              <w:jc w:val="center"/>
              <w:ind w:right="300"/>
              <w:spacing w:after="0"/>
              <w:rPr>
                <w:sz w:val="20"/>
                <w:szCs w:val="20"/>
                <w:color w:val="auto"/>
              </w:rPr>
            </w:pPr>
            <w:r>
              <w:rPr>
                <w:rFonts w:ascii="Arial" w:cs="Arial" w:eastAsia="Arial" w:hAnsi="Arial"/>
                <w:sz w:val="19"/>
                <w:szCs w:val="19"/>
                <w:b w:val="1"/>
                <w:bCs w:val="1"/>
                <w:color w:val="auto"/>
                <w:w w:val="98"/>
              </w:rPr>
              <w:t>January 31, 2026</w:t>
            </w:r>
          </w:p>
        </w:tc>
        <w:tc>
          <w:tcPr>
            <w:tcW w:w="2160" w:type="dxa"/>
            <w:vAlign w:val="bottom"/>
          </w:tcPr>
          <w:p>
            <w:pPr>
              <w:jc w:val="center"/>
              <w:spacing w:after="0"/>
              <w:rPr>
                <w:sz w:val="20"/>
                <w:szCs w:val="20"/>
                <w:color w:val="auto"/>
              </w:rPr>
            </w:pPr>
            <w:r>
              <w:rPr>
                <w:rFonts w:ascii="Arial" w:cs="Arial" w:eastAsia="Arial" w:hAnsi="Arial"/>
                <w:sz w:val="19"/>
                <w:szCs w:val="19"/>
                <w:b w:val="1"/>
                <w:bCs w:val="1"/>
                <w:color w:val="auto"/>
                <w:w w:val="99"/>
              </w:rPr>
              <w:t>October 31, 2025</w:t>
            </w:r>
          </w:p>
        </w:tc>
      </w:tr>
    </w:tbl>
    <w:p>
      <w:pPr>
        <w:spacing w:after="0" w:line="1" w:lineRule="exact"/>
        <w:rPr>
          <w:sz w:val="20"/>
          <w:szCs w:val="20"/>
          <w:color w:val="auto"/>
        </w:rPr>
      </w:pPr>
    </w:p>
    <w:p>
      <w:pPr>
        <w:sectPr>
          <w:pgSz w:w="11900" w:h="16838" w:orient="portrait"/>
          <w:cols w:equalWidth="0" w:num="2">
            <w:col w:w="5980" w:space="720"/>
            <w:col w:w="4640"/>
          </w:cols>
          <w:pgMar w:left="220" w:top="1421" w:right="339" w:bottom="1440" w:gutter="0" w:footer="0" w:header="0"/>
          <w:type w:val="continuous"/>
        </w:sectPr>
      </w:pPr>
    </w:p>
    <w:tbl>
      <w:tblPr>
        <w:tblLayout w:type="fixed"/>
        <w:tblInd w:w="100" w:type="dxa"/>
        <w:tblCellMar>
          <w:top w:w="0" w:type="dxa"/>
          <w:left w:w="0" w:type="dxa"/>
          <w:bottom w:w="0" w:type="dxa"/>
          <w:right w:w="0" w:type="dxa"/>
        </w:tblCellMar>
      </w:tblPr>
      <w:tr>
        <w:trPr>
          <w:trHeight w:val="236"/>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Total debt</w:t>
            </w:r>
          </w:p>
        </w:tc>
        <w:tc>
          <w:tcPr>
            <w:tcW w:w="34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$2,507,681</w:t>
            </w:r>
          </w:p>
        </w:tc>
        <w:tc>
          <w:tcPr>
            <w:tcW w:w="32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$2,167,945</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Less: Cash and cash equivalents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(260,971)</w:t>
            </w:r>
          </w:p>
        </w:tc>
        <w:tc>
          <w:tcPr>
            <w:tcW w:w="3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(217,781)</w:t>
            </w:r>
          </w:p>
        </w:tc>
      </w:tr>
      <w:tr>
        <w:trPr>
          <w:trHeight w:val="236"/>
        </w:trPr>
        <w:tc>
          <w:tcPr>
            <w:tcW w:w="6600" w:type="dxa"/>
            <w:vAlign w:val="bottom"/>
            <w:gridSpan w:val="2"/>
          </w:tcPr>
          <w:p>
            <w:pPr>
              <w:ind w:left="20"/>
              <w:spacing w:after="0" w:line="236" w:lineRule="exact"/>
              <w:rPr>
                <w:sz w:val="20"/>
                <w:szCs w:val="20"/>
                <w:color w:val="auto"/>
              </w:rPr>
            </w:pPr>
            <w:r>
              <w:rPr>
                <w:rFonts w:ascii="Arial" w:cs="Arial" w:eastAsia="Arial" w:hAnsi="Arial"/>
                <w:sz w:val="19"/>
                <w:szCs w:val="19"/>
                <w:color w:val="auto"/>
              </w:rPr>
              <w:t xml:space="preserve">Net debt </w:t>
            </w:r>
            <w:r>
              <w:rPr>
                <w:rFonts w:ascii="Arial" w:cs="Arial" w:eastAsia="Arial" w:hAnsi="Arial"/>
                <w:sz w:val="24"/>
                <w:szCs w:val="24"/>
                <w:color w:val="auto"/>
                <w:vertAlign w:val="superscript"/>
              </w:rPr>
              <w:t>(a)</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$2,246,710</w:t>
            </w:r>
          </w:p>
        </w:tc>
        <w:tc>
          <w:tcPr>
            <w:tcW w:w="3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$1,950,164</w:t>
            </w:r>
          </w:p>
        </w:tc>
      </w:tr>
      <w:tr>
        <w:trPr>
          <w:trHeight w:val="21"/>
        </w:trPr>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466"/>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Total debt</w:t>
            </w:r>
          </w:p>
        </w:tc>
        <w:tc>
          <w:tcPr>
            <w:tcW w:w="2160" w:type="dxa"/>
            <w:vAlign w:val="bottom"/>
          </w:tcPr>
          <w:p>
            <w:pPr>
              <w:jc w:val="right"/>
              <w:spacing w:after="0"/>
              <w:rPr>
                <w:sz w:val="20"/>
                <w:szCs w:val="20"/>
                <w:color w:val="auto"/>
              </w:rPr>
            </w:pPr>
            <w:r>
              <w:rPr>
                <w:rFonts w:ascii="Arial" w:cs="Arial" w:eastAsia="Arial" w:hAnsi="Arial"/>
                <w:sz w:val="19"/>
                <w:szCs w:val="19"/>
                <w:color w:val="auto"/>
              </w:rPr>
              <w:t>$2,507,681</w:t>
            </w:r>
          </w:p>
        </w:tc>
        <w:tc>
          <w:tcPr>
            <w:tcW w:w="3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$2,167,945</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Net income attributable to HEICO (trailing twelve months)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$712,618</w:t>
            </w:r>
          </w:p>
        </w:tc>
        <w:tc>
          <w:tcPr>
            <w:tcW w:w="3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$690,385</w:t>
            </w:r>
          </w:p>
        </w:tc>
      </w:tr>
      <w:tr>
        <w:trPr>
          <w:trHeight w:val="237"/>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Total debt to net income attributable to HEICO ratio</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3.52</w:t>
            </w:r>
          </w:p>
        </w:tc>
        <w:tc>
          <w:tcPr>
            <w:tcW w:w="3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3.14</w:t>
            </w:r>
          </w:p>
        </w:tc>
      </w:tr>
      <w:tr>
        <w:trPr>
          <w:trHeight w:val="20"/>
        </w:trPr>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466"/>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Net debt</w:t>
            </w:r>
          </w:p>
        </w:tc>
        <w:tc>
          <w:tcPr>
            <w:tcW w:w="2160" w:type="dxa"/>
            <w:vAlign w:val="bottom"/>
          </w:tcPr>
          <w:p>
            <w:pPr>
              <w:jc w:val="right"/>
              <w:spacing w:after="0"/>
              <w:rPr>
                <w:sz w:val="20"/>
                <w:szCs w:val="20"/>
                <w:color w:val="auto"/>
              </w:rPr>
            </w:pPr>
            <w:r>
              <w:rPr>
                <w:rFonts w:ascii="Arial" w:cs="Arial" w:eastAsia="Arial" w:hAnsi="Arial"/>
                <w:sz w:val="19"/>
                <w:szCs w:val="19"/>
                <w:color w:val="auto"/>
              </w:rPr>
              <w:t>$2,246,710</w:t>
            </w:r>
          </w:p>
        </w:tc>
        <w:tc>
          <w:tcPr>
            <w:tcW w:w="3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9"/>
                <w:szCs w:val="19"/>
                <w:color w:val="auto"/>
              </w:rPr>
              <w:t>$1,950,164</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9"/>
                <w:szCs w:val="19"/>
                <w:color w:val="auto"/>
              </w:rPr>
              <w:t>EBITDA (trailing twelve months)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$1,257,509</w:t>
            </w:r>
          </w:p>
        </w:tc>
        <w:tc>
          <w:tcPr>
            <w:tcW w:w="3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$1,219,507</w:t>
            </w:r>
          </w:p>
        </w:tc>
      </w:tr>
      <w:tr>
        <w:trPr>
          <w:trHeight w:val="237"/>
        </w:trPr>
        <w:tc>
          <w:tcPr>
            <w:tcW w:w="6600" w:type="dxa"/>
            <w:vAlign w:val="bottom"/>
            <w:gridSpan w:val="2"/>
          </w:tcPr>
          <w:p>
            <w:pPr>
              <w:ind w:left="20"/>
              <w:spacing w:after="0" w:line="236" w:lineRule="exact"/>
              <w:rPr>
                <w:sz w:val="20"/>
                <w:szCs w:val="20"/>
                <w:color w:val="auto"/>
              </w:rPr>
            </w:pPr>
            <w:r>
              <w:rPr>
                <w:rFonts w:ascii="Arial" w:cs="Arial" w:eastAsia="Arial" w:hAnsi="Arial"/>
                <w:sz w:val="19"/>
                <w:szCs w:val="19"/>
                <w:color w:val="auto"/>
              </w:rPr>
              <w:t xml:space="preserve">Net debt to EBITDA ratio </w:t>
            </w:r>
            <w:r>
              <w:rPr>
                <w:rFonts w:ascii="Arial" w:cs="Arial" w:eastAsia="Arial" w:hAnsi="Arial"/>
                <w:sz w:val="24"/>
                <w:szCs w:val="24"/>
                <w:color w:val="auto"/>
                <w:vertAlign w:val="superscript"/>
              </w:rPr>
              <w:t>(a)</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1.79</w:t>
            </w:r>
          </w:p>
        </w:tc>
        <w:tc>
          <w:tcPr>
            <w:tcW w:w="3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w:t>
            </w:r>
          </w:p>
        </w:tc>
      </w:tr>
      <w:tr>
        <w:trPr>
          <w:trHeight w:val="20"/>
        </w:trPr>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 See the "Non-GAAP Financial Measures" section of this press release.</w:t>
      </w:r>
    </w:p>
    <w:sectPr>
      <w:pgSz w:w="11900" w:h="16838" w:orient="portrait"/>
      <w:cols w:equalWidth="0" w:num="1">
        <w:col w:w="11340"/>
      </w:cols>
      <w:pgMar w:left="220" w:top="14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2026-02-25T16:33:15Z</dcterms:created>
  <dcterms:modified xsi:type="dcterms:W3CDTF">2026-02-25T16:33:15Z</dcterms:modified>
</cp:coreProperties>
</file>