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920013.xml.htm"/>
      <w:bookmarkStart w:id="1" w:name="kswkform4_1791920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MENDELSON VICTOR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BRICKELL BAY DRIVE, SUITE 1644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HEICO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HEI, HEI.A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Co-COB and Co-CEO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10% owner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88"/>
        <w:gridCol w:w="926"/>
        <w:gridCol w:w="797"/>
        <w:gridCol w:w="615"/>
        <w:gridCol w:w="335"/>
        <w:gridCol w:w="739"/>
        <w:gridCol w:w="403"/>
        <w:gridCol w:w="1058"/>
        <w:gridCol w:w="1232"/>
        <w:gridCol w:w="947"/>
        <w:gridCol w:w="13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8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8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1,274,308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212,626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189,030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Owned by Corporation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172,515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Owned by Partnership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4,762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children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19,136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 for children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93,235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88,487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921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Keogh Account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16,133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Keogh Account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570,852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137,199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28,819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8,465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4,072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178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4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220.3043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</w:p>
        </w:tc>
        <w:tc>
          <w:tcPr>
            <w:tcW w:w="9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409A Plan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owned by Mendelson International Corporation whose stock is owned solely by the Reporting Person and Eric Mendelson, the brother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owned by VHM Management Limited Partners, a partnership whose sole general partner is a corporation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for the benefit of the Reporting Person by the HEICO Corporation 401(k), based on a plan statement dated October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shares gifted by the Reporting Person to trusts for the benefit of the Reporting Person's immediate family members and whose Trustee is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shares owned by the Victor H. Mendelson Revocable Investment Trust which is owned solely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shares held for the reporting person by the HEICO Corporation Leadership Compensation Plan (409A Plan).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Victor H. Mendelson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1082" TargetMode="External"/><Relationship Id="rId5" Type="http://schemas.openxmlformats.org/officeDocument/2006/relationships/hyperlink" Target="http://www.sec.gov/cgi-bin/browse-edgar?action=getcompany&amp;CIK=0000046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824</Words>
  <Characters>4372</Characters>
  <CharactersWithSpaces>5064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