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0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Macau Carlos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TAFT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HEICO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HEI, HEI.A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EVP-CFO &amp; Treasurer</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109"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HOLLYWOOD  FL</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33021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8"/>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156,316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Sons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2,042</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Plan</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2,066</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Plan</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restart"/>
          </w:tcPr>
          <w:p>
            <w:pPr>
              <w:jc w:val="right"/>
              <w:ind w:right="364"/>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57,656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38.3744</w:t>
            </w: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03/17/2027</w:t>
            </w:r>
          </w:p>
        </w:tc>
        <w:tc>
          <w:tcPr>
            <w:tcW w:w="680" w:type="dxa"/>
            <w:vAlign w:val="bottom"/>
            <w:vMerge w:val="restart"/>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57,656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restart"/>
          </w:tcPr>
          <w:p>
            <w:pPr>
              <w:jc w:val="right"/>
              <w:ind w:right="364"/>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62,500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56.24</w:t>
            </w: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03/16/2028</w:t>
            </w:r>
          </w:p>
        </w:tc>
        <w:tc>
          <w:tcPr>
            <w:tcW w:w="680" w:type="dxa"/>
            <w:vAlign w:val="bottom"/>
            <w:vMerge w:val="restart"/>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62,500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restart"/>
          </w:tcPr>
          <w:p>
            <w:pPr>
              <w:jc w:val="right"/>
              <w:ind w:right="364"/>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ind w:right="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120.32</w:t>
            </w: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09/24/2031</w:t>
            </w:r>
          </w:p>
        </w:tc>
        <w:tc>
          <w:tcPr>
            <w:tcW w:w="680" w:type="dxa"/>
            <w:vAlign w:val="bottom"/>
            <w:vMerge w:val="restart"/>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restart"/>
          </w:tcPr>
          <w:p>
            <w:pPr>
              <w:jc w:val="right"/>
              <w:ind w:right="364"/>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restart"/>
          </w:tcPr>
          <w:p>
            <w:pPr>
              <w:jc w:val="center"/>
              <w:ind w:right="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129.79</w:t>
            </w: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03/17/2033</w:t>
            </w:r>
          </w:p>
        </w:tc>
        <w:tc>
          <w:tcPr>
            <w:tcW w:w="680" w:type="dxa"/>
            <w:vAlign w:val="bottom"/>
            <w:vMerge w:val="restart"/>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8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364"/>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jc w:val="center"/>
              <w:ind w:right="1"/>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163.61</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0000FF"/>
              </w:rPr>
              <w:t>06/09/2033</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ectPr>
          <w:pgSz w:w="11900" w:h="16838" w:orient="portrait"/>
          <w:cols w:equalWidth="0" w:num="1">
            <w:col w:w="11080"/>
          </w:cols>
          <w:pgMar w:left="460" w:top="217" w:right="359" w:bottom="10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272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27266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05/27/2026</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256.01</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03/14/2035</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5,000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benefit of the Reporting Person by the HEICO Corporation 401k plan based on a plan statement dated May 26, 2026.</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exercisable at 20% per year over five years from the date of grant.</w:t>
      </w:r>
    </w:p>
    <w:p>
      <w:pPr>
        <w:spacing w:after="0" w:line="43" w:lineRule="exact"/>
        <w:rPr>
          <w:rFonts w:ascii="Times New Roman" w:cs="Times New Roman" w:eastAsia="Times New Roman" w:hAnsi="Times New Roman"/>
          <w:sz w:val="13"/>
          <w:szCs w:val="13"/>
          <w:color w:val="008000"/>
        </w:rPr>
      </w:pPr>
    </w:p>
    <w:p>
      <w:pPr>
        <w:ind w:left="20" w:right="32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tranche (20%) of performance-based stock options originally granted on March 14, 2025. Vesting occurred upon certification by the Compensation Committee on May 27, 2026 that the applicable performance conditions for the first measurement interval were achieved.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Carlos L. Macau</w:t>
            </w:r>
          </w:p>
        </w:tc>
        <w:tc>
          <w:tcPr>
            <w:tcW w:w="8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05/29/2026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1293" TargetMode="External"/><Relationship Id="rId14" Type="http://schemas.openxmlformats.org/officeDocument/2006/relationships/hyperlink" Target="http://www.sec.gov/cgi-bin/browse-edgar?action=getcompany&amp;CIK=0000046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2026-05-29T18:09:07Z</dcterms:created>
  <dcterms:modified xsi:type="dcterms:W3CDTF">2026-05-29T18:09:07Z</dcterms:modified>
</cp:coreProperties>
</file>