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120" w:after="120"/>
              <w:jc w:val="both"/>
              <w:rPr>
                <w:rFonts w:ascii="Times New Roman;serif" w:hAnsi="Times New Roman;serif"/>
                <w:b/>
                <w:color w:val="000000"/>
                <w:sz w:val="20"/>
              </w:rPr>
            </w:pPr>
            <w:r>
              <w:rPr>
                <w:rFonts w:ascii="Times New Roman;serif" w:hAnsi="Times New Roman;serif"/>
                <w:b/>
                <w:color w:val="000000"/>
                <w:sz w:val="20"/>
              </w:rPr>
              <w:t>For the quarterly period ended January 31,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 ______ to _______</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001-04604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HEICO CORPORATION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656" w:type="dxa"/>
        <w:jc w:val="center"/>
        <w:tblInd w:w="0" w:type="dxa"/>
        <w:tblLayout w:type="fixed"/>
        <w:tblCellMar>
          <w:top w:w="28" w:type="dxa"/>
          <w:left w:w="28" w:type="dxa"/>
          <w:bottom w:w="28" w:type="dxa"/>
          <w:right w:w="28" w:type="dxa"/>
        </w:tblCellMar>
      </w:tblPr>
      <w:tblGrid>
        <w:gridCol w:w="1194"/>
        <w:gridCol w:w="1050"/>
        <w:gridCol w:w="1056"/>
        <w:gridCol w:w="109"/>
        <w:gridCol w:w="109"/>
        <w:gridCol w:w="109"/>
        <w:gridCol w:w="884"/>
        <w:gridCol w:w="884"/>
        <w:gridCol w:w="1261"/>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65-0341002</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3000 Taft Street, Hollywood, 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33021</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(954) 987-4000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528"/>
        <w:gridCol w:w="1331"/>
        <w:gridCol w:w="1347"/>
        <w:gridCol w:w="109"/>
        <w:gridCol w:w="109"/>
        <w:gridCol w:w="109"/>
        <w:gridCol w:w="548"/>
        <w:gridCol w:w="548"/>
        <w:gridCol w:w="550"/>
        <w:gridCol w:w="109"/>
        <w:gridCol w:w="109"/>
        <w:gridCol w:w="109"/>
        <w:gridCol w:w="1082"/>
        <w:gridCol w:w="1081"/>
        <w:gridCol w:w="1536"/>
      </w:tblGrid>
      <w:tr>
        <w:trPr/>
        <w:tc>
          <w:tcPr>
            <w:tcW w:w="152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Trading Symbol(s)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Name of each exchange on which registered </w:t>
            </w:r>
          </w:p>
        </w:tc>
      </w:tr>
      <w:tr>
        <w:trPr/>
        <w:tc>
          <w:tcPr>
            <w:tcW w:w="4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Common Stock, $.01 par value 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HEI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New York Stock Exchange </w:t>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Class A Common Stock, $.01 par value 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HEI.A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New York Stock Exchange </w:t>
            </w:r>
          </w:p>
        </w:tc>
      </w:tr>
    </w:tbl>
    <w:p>
      <w:pPr>
        <w:pStyle w:val="TextBody"/>
        <w:bidi w:val="0"/>
        <w:spacing w:lineRule="auto" w:line="288" w:before="0" w:after="18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00" w:after="18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0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center"/>
        <w:rPr/>
      </w:pPr>
      <w:r>
        <w:rPr>
          <w:rFonts w:ascii="Times New Roman;serif" w:hAnsi="Times New Roman;serif"/>
          <w:b w:val="false"/>
          <w:color w:val="000000"/>
          <w:sz w:val="20"/>
        </w:rPr>
        <w:t xml:space="preserve">Large accelerated filer </w:t>
      </w:r>
      <w:r>
        <w:rPr>
          <w:color w:val="000000"/>
        </w:rPr>
        <w:t xml:space="preserve">☒ </w:t>
      </w:r>
      <w:r>
        <w:rPr>
          <w:rFonts w:ascii="Times New Roman;serif" w:hAnsi="Times New Roman;serif"/>
          <w:b w:val="false"/>
          <w:color w:val="000000"/>
          <w:sz w:val="20"/>
        </w:rPr>
        <w:t xml:space="preserve">Accelerated filer </w:t>
      </w:r>
      <w:r>
        <w:rPr>
          <w:color w:val="000000"/>
        </w:rPr>
        <w:t xml:space="preserve">☐ </w:t>
      </w:r>
      <w:r>
        <w:rPr>
          <w:rFonts w:ascii="Times New Roman;serif" w:hAnsi="Times New Roman;serif"/>
          <w:b w:val="false"/>
          <w:color w:val="000000"/>
          <w:sz w:val="20"/>
        </w:rPr>
        <w:t xml:space="preserve">Non-accelerated filer </w:t>
      </w:r>
      <w:r>
        <w:rPr>
          <w:color w:val="000000"/>
        </w:rPr>
        <w:t>☐</w:t>
      </w:r>
    </w:p>
    <w:p>
      <w:pPr>
        <w:pStyle w:val="TextBody"/>
        <w:bidi w:val="0"/>
        <w:spacing w:lineRule="auto" w:line="288" w:before="0" w:after="180"/>
        <w:jc w:val="center"/>
        <w:rPr/>
      </w:pPr>
      <w:r>
        <w:rPr>
          <w:rFonts w:ascii="Times New Roman;serif" w:hAnsi="Times New Roman;serif"/>
          <w:b w:val="false"/>
          <w:color w:val="000000"/>
          <w:sz w:val="20"/>
        </w:rPr>
        <w:t xml:space="preserve">Smaller reporting company </w:t>
      </w:r>
      <w:r>
        <w:rPr>
          <w:color w:val="000000"/>
        </w:rPr>
        <w:t xml:space="preserve">☐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00" w:after="18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18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The number of shares outstanding of each of the registrant’s classes of common stock as of February 25, 2026 is as follows:</w:t>
      </w:r>
    </w:p>
    <w:tbl>
      <w:tblPr>
        <w:tblW w:w="5120" w:type="dxa"/>
        <w:jc w:val="center"/>
        <w:tblInd w:w="0" w:type="dxa"/>
        <w:tblLayout w:type="fixed"/>
        <w:tblCellMar>
          <w:top w:w="28" w:type="dxa"/>
          <w:left w:w="28" w:type="dxa"/>
          <w:bottom w:w="28" w:type="dxa"/>
          <w:right w:w="28" w:type="dxa"/>
        </w:tblCellMar>
      </w:tblPr>
      <w:tblGrid>
        <w:gridCol w:w="1187"/>
        <w:gridCol w:w="1045"/>
        <w:gridCol w:w="1052"/>
        <w:gridCol w:w="540"/>
        <w:gridCol w:w="541"/>
        <w:gridCol w:w="109"/>
        <w:gridCol w:w="189"/>
        <w:gridCol w:w="189"/>
        <w:gridCol w:w="268"/>
      </w:tblGrid>
      <w:tr>
        <w:trPr/>
        <w:tc>
          <w:tcPr>
            <w:tcW w:w="118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$.01 par value</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55,148,527 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$.01 par value</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84,369,872 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w:t>
            </w:r>
          </w:p>
        </w:tc>
      </w:tr>
    </w:tbl>
    <w:p>
      <w:pPr>
        <w:pStyle w:val="TextBody"/>
        <w:bidi w:val="0"/>
        <w:spacing w:before="12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HEICO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INDEX TO QUARTERLY REPORT ON FORM 10-Q</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0"/>
        <w:gridCol w:w="235"/>
        <w:gridCol w:w="239"/>
        <w:gridCol w:w="319"/>
        <w:gridCol w:w="319"/>
        <w:gridCol w:w="319"/>
        <w:gridCol w:w="2670"/>
        <w:gridCol w:w="2577"/>
        <w:gridCol w:w="2608"/>
        <w:gridCol w:w="189"/>
        <w:gridCol w:w="189"/>
        <w:gridCol w:w="271"/>
      </w:tblGrid>
      <w:tr>
        <w:trPr/>
        <w:tc>
          <w:tcPr>
            <w:tcW w:w="27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Page</w:t>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Part I.</w:t>
            </w:r>
          </w:p>
        </w:tc>
        <w:tc>
          <w:tcPr>
            <w:tcW w:w="881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Financial Information</w:t>
            </w:r>
          </w:p>
        </w:tc>
        <w:tc>
          <w:tcPr>
            <w:tcW w:w="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4"/>
              </w:rPr>
            </w:pPr>
            <w:r>
              <w:rPr>
                <w:rFonts w:ascii="Times New Roman;serif" w:hAnsi="Times New Roman;serif"/>
                <w:b w:val="false"/>
                <w:color w:val="000000"/>
                <w:sz w:val="24"/>
              </w:rPr>
              <w:t>Item 1.</w:t>
            </w:r>
          </w:p>
        </w:tc>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a4b5de90fa4515b5f1d9e463069c41_16">
              <w:r>
                <w:rPr>
                  <w:rStyle w:val="InternetLink"/>
                  <w:rFonts w:ascii="Times New Roman;serif" w:hAnsi="Times New Roman;serif"/>
                  <w:b w:val="false"/>
                  <w:strike w:val="false"/>
                  <w:dstrike w:val="false"/>
                  <w:color w:val="000000"/>
                  <w:sz w:val="24"/>
                  <w:u w:val="none"/>
                  <w:effect w:val="none"/>
                </w:rPr>
                <w:t>Financial Statements:</w:t>
              </w:r>
            </w:hyperlink>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53a4b5de90fa4515b5f1d9e463069c41_19">
              <w:r>
                <w:rPr>
                  <w:rStyle w:val="InternetLink"/>
                  <w:rFonts w:ascii="Times New Roman;serif" w:hAnsi="Times New Roman;serif"/>
                  <w:b w:val="false"/>
                  <w:color w:val="000080"/>
                  <w:sz w:val="24"/>
                  <w:u w:val="single"/>
                </w:rPr>
                <w:t>Condensed Consolidated Balance Sheets (unaudited)</w:t>
              </w:r>
            </w:hyperlink>
            <w:hyperlink w:anchor="i53a4b5de90fa4515b5f1d9e463069c41_19">
              <w:r>
                <w:rPr>
                  <w:rStyle w:val="InternetLink"/>
                  <w:rFonts w:ascii="Times New Roman;serif" w:hAnsi="Times New Roman;serif"/>
                  <w:b w:val="false"/>
                  <w:color w:val="000080"/>
                  <w:sz w:val="24"/>
                  <w:u w:val="single"/>
                </w:rPr>
                <w:br/>
              </w:r>
            </w:hyperlink>
            <w:hyperlink w:anchor="i53a4b5de90fa4515b5f1d9e463069c41_19">
              <w:r>
                <w:rPr>
                  <w:rStyle w:val="InternetLink"/>
                  <w:rFonts w:ascii="Times New Roman;serif" w:hAnsi="Times New Roman;serif"/>
                  <w:b w:val="false"/>
                  <w:color w:val="000080"/>
                  <w:sz w:val="24"/>
                  <w:u w:val="single"/>
                </w:rPr>
                <w:t>as of January 31, 202</w:t>
              </w:r>
            </w:hyperlink>
            <w:hyperlink w:anchor="i53a4b5de90fa4515b5f1d9e463069c41_19">
              <w:r>
                <w:rPr>
                  <w:rStyle w:val="InternetLink"/>
                  <w:rFonts w:ascii="Times New Roman;serif" w:hAnsi="Times New Roman;serif"/>
                  <w:b w:val="false"/>
                  <w:color w:val="000080"/>
                  <w:sz w:val="24"/>
                  <w:u w:val="single"/>
                </w:rPr>
                <w:t>6</w:t>
              </w:r>
            </w:hyperlink>
            <w:hyperlink w:anchor="i53a4b5de90fa4515b5f1d9e463069c41_19">
              <w:r>
                <w:rPr>
                  <w:rStyle w:val="InternetLink"/>
                  <w:rFonts w:ascii="Times New Roman;serif" w:hAnsi="Times New Roman;serif"/>
                  <w:b w:val="false"/>
                  <w:color w:val="000080"/>
                  <w:sz w:val="24"/>
                  <w:u w:val="single"/>
                </w:rPr>
                <w:t xml:space="preserve"> and October 31, 202</w:t>
              </w:r>
            </w:hyperlink>
            <w:hyperlink w:anchor="i53a4b5de90fa4515b5f1d9e463069c41_19">
              <w:r>
                <w:rPr>
                  <w:rStyle w:val="InternetLink"/>
                  <w:rFonts w:ascii="Times New Roman;serif" w:hAnsi="Times New Roman;serif"/>
                  <w:b w:val="false"/>
                  <w:color w:val="000080"/>
                  <w:sz w:val="24"/>
                  <w:u w:val="single"/>
                </w:rPr>
                <w:t>5</w:t>
              </w:r>
            </w:hyperlink>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a4b5de90fa4515b5f1d9e463069c41_19">
              <w:r>
                <w:rPr>
                  <w:rStyle w:val="InternetLink"/>
                  <w:rFonts w:ascii="Times New Roman;serif" w:hAnsi="Times New Roman;serif"/>
                  <w:b w:val="false"/>
                  <w:color w:val="0000FF"/>
                  <w:sz w:val="24"/>
                  <w:u w:val="single"/>
                </w:rPr>
                <w:t>2</w:t>
              </w:r>
            </w:hyperlink>
          </w:p>
        </w:tc>
      </w:tr>
      <w:tr>
        <w:trPr/>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53a4b5de90fa4515b5f1d9e463069c41_22">
              <w:r>
                <w:rPr>
                  <w:rStyle w:val="InternetLink"/>
                  <w:rFonts w:ascii="Times New Roman;serif" w:hAnsi="Times New Roman;serif"/>
                  <w:b w:val="false"/>
                  <w:color w:val="000080"/>
                  <w:sz w:val="24"/>
                  <w:u w:val="single"/>
                </w:rPr>
                <w:t>Condensed Consolidated Statements of Operations (unaudited)</w:t>
              </w:r>
            </w:hyperlink>
            <w:hyperlink w:anchor="i53a4b5de90fa4515b5f1d9e463069c41_22">
              <w:r>
                <w:rPr>
                  <w:rStyle w:val="InternetLink"/>
                  <w:rFonts w:ascii="Times New Roman;serif" w:hAnsi="Times New Roman;serif"/>
                  <w:b w:val="false"/>
                  <w:color w:val="000080"/>
                  <w:sz w:val="24"/>
                  <w:u w:val="single"/>
                </w:rPr>
                <w:br/>
              </w:r>
            </w:hyperlink>
            <w:hyperlink w:anchor="i53a4b5de90fa4515b5f1d9e463069c41_22">
              <w:r>
                <w:rPr>
                  <w:rStyle w:val="InternetLink"/>
                  <w:rFonts w:ascii="Times New Roman;serif" w:hAnsi="Times New Roman;serif"/>
                  <w:b w:val="false"/>
                  <w:color w:val="000080"/>
                  <w:sz w:val="24"/>
                  <w:u w:val="single"/>
                </w:rPr>
                <w:t>for the three months ended January 31, 202</w:t>
              </w:r>
            </w:hyperlink>
            <w:hyperlink w:anchor="i53a4b5de90fa4515b5f1d9e463069c41_22">
              <w:r>
                <w:rPr>
                  <w:rStyle w:val="InternetLink"/>
                  <w:rFonts w:ascii="Times New Roman;serif" w:hAnsi="Times New Roman;serif"/>
                  <w:b w:val="false"/>
                  <w:color w:val="000080"/>
                  <w:sz w:val="24"/>
                  <w:u w:val="single"/>
                </w:rPr>
                <w:t>6</w:t>
              </w:r>
            </w:hyperlink>
            <w:hyperlink w:anchor="i53a4b5de90fa4515b5f1d9e463069c41_22">
              <w:r>
                <w:rPr>
                  <w:rStyle w:val="InternetLink"/>
                  <w:rFonts w:ascii="Times New Roman;serif" w:hAnsi="Times New Roman;serif"/>
                  <w:b w:val="false"/>
                  <w:color w:val="000080"/>
                  <w:sz w:val="24"/>
                  <w:u w:val="single"/>
                </w:rPr>
                <w:t xml:space="preserve"> and 20</w:t>
              </w:r>
            </w:hyperlink>
            <w:hyperlink w:anchor="i53a4b5de90fa4515b5f1d9e463069c41_22">
              <w:r>
                <w:rPr>
                  <w:rStyle w:val="InternetLink"/>
                  <w:rFonts w:ascii="Times New Roman;serif" w:hAnsi="Times New Roman;serif"/>
                  <w:b w:val="false"/>
                  <w:color w:val="000080"/>
                  <w:sz w:val="24"/>
                  <w:u w:val="single"/>
                </w:rPr>
                <w:t>25</w:t>
              </w:r>
            </w:hyperlink>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a4b5de90fa4515b5f1d9e463069c41_22">
              <w:r>
                <w:rPr>
                  <w:rStyle w:val="InternetLink"/>
                  <w:rFonts w:ascii="Times New Roman;serif" w:hAnsi="Times New Roman;serif"/>
                  <w:b w:val="false"/>
                  <w:color w:val="0000FF"/>
                  <w:sz w:val="24"/>
                  <w:u w:val="single"/>
                </w:rPr>
                <w:t>3</w:t>
              </w:r>
            </w:hyperlink>
          </w:p>
        </w:tc>
      </w:tr>
      <w:tr>
        <w:trPr/>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53a4b5de90fa4515b5f1d9e463069c41_25">
              <w:r>
                <w:rPr>
                  <w:rStyle w:val="InternetLink"/>
                  <w:rFonts w:ascii="Times New Roman;serif" w:hAnsi="Times New Roman;serif"/>
                  <w:b w:val="false"/>
                  <w:color w:val="000080"/>
                  <w:sz w:val="24"/>
                  <w:u w:val="single"/>
                </w:rPr>
                <w:t>Condensed Consolidated Statements of Comprehensive Income (unaudited) for the three months ended January 31, 202</w:t>
              </w:r>
            </w:hyperlink>
            <w:hyperlink w:anchor="i53a4b5de90fa4515b5f1d9e463069c41_25">
              <w:r>
                <w:rPr>
                  <w:rStyle w:val="InternetLink"/>
                  <w:rFonts w:ascii="Times New Roman;serif" w:hAnsi="Times New Roman;serif"/>
                  <w:b w:val="false"/>
                  <w:color w:val="000080"/>
                  <w:sz w:val="24"/>
                  <w:u w:val="single"/>
                </w:rPr>
                <w:t>6</w:t>
              </w:r>
            </w:hyperlink>
            <w:hyperlink w:anchor="i53a4b5de90fa4515b5f1d9e463069c41_25">
              <w:r>
                <w:rPr>
                  <w:rStyle w:val="InternetLink"/>
                  <w:rFonts w:ascii="Times New Roman;serif" w:hAnsi="Times New Roman;serif"/>
                  <w:b w:val="false"/>
                  <w:color w:val="000080"/>
                  <w:sz w:val="24"/>
                  <w:u w:val="single"/>
                </w:rPr>
                <w:t xml:space="preserve"> and 20</w:t>
              </w:r>
            </w:hyperlink>
            <w:hyperlink w:anchor="i53a4b5de90fa4515b5f1d9e463069c41_25">
              <w:r>
                <w:rPr>
                  <w:rStyle w:val="InternetLink"/>
                  <w:rFonts w:ascii="Times New Roman;serif" w:hAnsi="Times New Roman;serif"/>
                  <w:b w:val="false"/>
                  <w:color w:val="000080"/>
                  <w:sz w:val="24"/>
                  <w:u w:val="single"/>
                </w:rPr>
                <w:t>25</w:t>
              </w:r>
            </w:hyperlink>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a4b5de90fa4515b5f1d9e463069c41_25">
              <w:r>
                <w:rPr>
                  <w:rStyle w:val="InternetLink"/>
                  <w:rFonts w:ascii="Times New Roman;serif" w:hAnsi="Times New Roman;serif"/>
                  <w:b w:val="false"/>
                  <w:color w:val="0000FF"/>
                  <w:sz w:val="24"/>
                  <w:u w:val="single"/>
                </w:rPr>
                <w:t>4</w:t>
              </w:r>
            </w:hyperlink>
          </w:p>
        </w:tc>
      </w:tr>
      <w:tr>
        <w:trPr/>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53a4b5de90fa4515b5f1d9e463069c41_28">
              <w:r>
                <w:rPr>
                  <w:rStyle w:val="InternetLink"/>
                  <w:rFonts w:ascii="Times New Roman;serif" w:hAnsi="Times New Roman;serif"/>
                  <w:b w:val="false"/>
                  <w:color w:val="000080"/>
                  <w:sz w:val="24"/>
                  <w:u w:val="single"/>
                </w:rPr>
                <w:t>Condensed Consolidated Statements of Shareholders’ Equity (unaudited) for the three months ended January 31, 202</w:t>
              </w:r>
            </w:hyperlink>
            <w:hyperlink w:anchor="i53a4b5de90fa4515b5f1d9e463069c41_28">
              <w:r>
                <w:rPr>
                  <w:rStyle w:val="InternetLink"/>
                  <w:rFonts w:ascii="Times New Roman;serif" w:hAnsi="Times New Roman;serif"/>
                  <w:b w:val="false"/>
                  <w:color w:val="000080"/>
                  <w:sz w:val="24"/>
                  <w:u w:val="single"/>
                </w:rPr>
                <w:t>6</w:t>
              </w:r>
            </w:hyperlink>
            <w:hyperlink w:anchor="i53a4b5de90fa4515b5f1d9e463069c41_28">
              <w:r>
                <w:rPr>
                  <w:rStyle w:val="InternetLink"/>
                  <w:rFonts w:ascii="Times New Roman;serif" w:hAnsi="Times New Roman;serif"/>
                  <w:b w:val="false"/>
                  <w:color w:val="000080"/>
                  <w:sz w:val="24"/>
                  <w:u w:val="single"/>
                </w:rPr>
                <w:t xml:space="preserve"> and 202</w:t>
              </w:r>
            </w:hyperlink>
            <w:hyperlink w:anchor="i53a4b5de90fa4515b5f1d9e463069c41_28">
              <w:r>
                <w:rPr>
                  <w:rStyle w:val="InternetLink"/>
                  <w:rFonts w:ascii="Times New Roman;serif" w:hAnsi="Times New Roman;serif"/>
                  <w:b w:val="false"/>
                  <w:color w:val="000080"/>
                  <w:sz w:val="24"/>
                  <w:u w:val="single"/>
                </w:rPr>
                <w:t>5</w:t>
              </w:r>
            </w:hyperlink>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a4b5de90fa4515b5f1d9e463069c41_28">
              <w:r>
                <w:rPr>
                  <w:rStyle w:val="InternetLink"/>
                  <w:rFonts w:ascii="Times New Roman;serif" w:hAnsi="Times New Roman;serif"/>
                  <w:b w:val="false"/>
                  <w:color w:val="0000FF"/>
                  <w:sz w:val="24"/>
                  <w:u w:val="single"/>
                </w:rPr>
                <w:t>5</w:t>
              </w:r>
            </w:hyperlink>
          </w:p>
        </w:tc>
      </w:tr>
      <w:tr>
        <w:trPr/>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53a4b5de90fa4515b5f1d9e463069c41_31">
              <w:r>
                <w:rPr>
                  <w:rStyle w:val="InternetLink"/>
                  <w:rFonts w:ascii="Times New Roman;serif" w:hAnsi="Times New Roman;serif"/>
                  <w:b w:val="false"/>
                  <w:color w:val="000080"/>
                  <w:sz w:val="24"/>
                  <w:u w:val="single"/>
                </w:rPr>
                <w:t>Condensed Consolidated Statements of Cash Flows (unaudited)</w:t>
              </w:r>
            </w:hyperlink>
            <w:hyperlink w:anchor="i53a4b5de90fa4515b5f1d9e463069c41_31">
              <w:r>
                <w:rPr>
                  <w:rStyle w:val="InternetLink"/>
                  <w:rFonts w:ascii="Times New Roman;serif" w:hAnsi="Times New Roman;serif"/>
                  <w:b w:val="false"/>
                  <w:color w:val="000080"/>
                  <w:sz w:val="24"/>
                  <w:u w:val="single"/>
                </w:rPr>
                <w:br/>
              </w:r>
            </w:hyperlink>
            <w:hyperlink w:anchor="i53a4b5de90fa4515b5f1d9e463069c41_31">
              <w:r>
                <w:rPr>
                  <w:rStyle w:val="InternetLink"/>
                  <w:rFonts w:ascii="Times New Roman;serif" w:hAnsi="Times New Roman;serif"/>
                  <w:b w:val="false"/>
                  <w:color w:val="000080"/>
                  <w:sz w:val="24"/>
                  <w:u w:val="single"/>
                </w:rPr>
                <w:t>for the three months ended January 31, 202</w:t>
              </w:r>
            </w:hyperlink>
            <w:hyperlink w:anchor="i53a4b5de90fa4515b5f1d9e463069c41_31">
              <w:r>
                <w:rPr>
                  <w:rStyle w:val="InternetLink"/>
                  <w:rFonts w:ascii="Times New Roman;serif" w:hAnsi="Times New Roman;serif"/>
                  <w:b w:val="false"/>
                  <w:color w:val="000080"/>
                  <w:sz w:val="24"/>
                  <w:u w:val="single"/>
                </w:rPr>
                <w:t>6</w:t>
              </w:r>
            </w:hyperlink>
            <w:hyperlink w:anchor="i53a4b5de90fa4515b5f1d9e463069c41_31">
              <w:r>
                <w:rPr>
                  <w:rStyle w:val="InternetLink"/>
                  <w:rFonts w:ascii="Times New Roman;serif" w:hAnsi="Times New Roman;serif"/>
                  <w:b w:val="false"/>
                  <w:color w:val="000080"/>
                  <w:sz w:val="24"/>
                  <w:u w:val="single"/>
                </w:rPr>
                <w:t xml:space="preserve"> and 20</w:t>
              </w:r>
            </w:hyperlink>
            <w:hyperlink w:anchor="i53a4b5de90fa4515b5f1d9e463069c41_31">
              <w:r>
                <w:rPr>
                  <w:rStyle w:val="InternetLink"/>
                  <w:rFonts w:ascii="Times New Roman;serif" w:hAnsi="Times New Roman;serif"/>
                  <w:b w:val="false"/>
                  <w:color w:val="000080"/>
                  <w:sz w:val="24"/>
                  <w:u w:val="single"/>
                </w:rPr>
                <w:t>25</w:t>
              </w:r>
            </w:hyperlink>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a4b5de90fa4515b5f1d9e463069c41_31">
              <w:r>
                <w:rPr>
                  <w:rStyle w:val="InternetLink"/>
                  <w:rFonts w:ascii="Times New Roman;serif" w:hAnsi="Times New Roman;serif"/>
                  <w:b w:val="false"/>
                  <w:color w:val="0000FF"/>
                  <w:sz w:val="24"/>
                  <w:u w:val="single"/>
                </w:rPr>
                <w:t>6</w:t>
              </w:r>
            </w:hyperlink>
          </w:p>
        </w:tc>
      </w:tr>
      <w:tr>
        <w:trPr/>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a4b5de90fa4515b5f1d9e463069c41_34">
              <w:r>
                <w:rPr>
                  <w:rStyle w:val="InternetLink"/>
                  <w:rFonts w:ascii="Times New Roman;serif" w:hAnsi="Times New Roman;serif"/>
                  <w:b w:val="false"/>
                  <w:color w:val="0000FF"/>
                  <w:sz w:val="24"/>
                  <w:u w:val="single"/>
                </w:rPr>
                <w:t>Notes to Condensed Consolidated Financial Statements (unaudited)</w:t>
              </w:r>
            </w:hyperlink>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a4b5de90fa4515b5f1d9e463069c41_34">
              <w:r>
                <w:rPr>
                  <w:rStyle w:val="InternetLink"/>
                  <w:rFonts w:ascii="Times New Roman;serif" w:hAnsi="Times New Roman;serif"/>
                  <w:b w:val="false"/>
                  <w:color w:val="0000FF"/>
                  <w:sz w:val="24"/>
                  <w:u w:val="single"/>
                </w:rPr>
                <w:t>7</w:t>
              </w:r>
            </w:hyperlink>
          </w:p>
        </w:tc>
      </w:tr>
      <w:tr>
        <w:trPr/>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4"/>
              </w:rPr>
            </w:pPr>
            <w:r>
              <w:rPr>
                <w:rFonts w:ascii="Times New Roman;serif" w:hAnsi="Times New Roman;serif"/>
                <w:b w:val="false"/>
                <w:color w:val="000000"/>
                <w:sz w:val="24"/>
              </w:rPr>
              <w:t>Item 2.</w:t>
            </w:r>
          </w:p>
        </w:tc>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53a4b5de90fa4515b5f1d9e463069c41_73">
              <w:r>
                <w:rPr>
                  <w:rStyle w:val="InternetLink"/>
                  <w:rFonts w:ascii="Times New Roman;serif" w:hAnsi="Times New Roman;serif"/>
                  <w:b w:val="false"/>
                  <w:color w:val="000080"/>
                  <w:sz w:val="24"/>
                  <w:u w:val="single"/>
                </w:rPr>
                <w:t xml:space="preserve">Management’s Discussion and Analysis of Financial Condition and </w:t>
              </w:r>
            </w:hyperlink>
            <w:hyperlink w:anchor="i53a4b5de90fa4515b5f1d9e463069c41_73">
              <w:r>
                <w:rPr>
                  <w:rStyle w:val="InternetLink"/>
                  <w:rFonts w:ascii="Times New Roman;serif" w:hAnsi="Times New Roman;serif"/>
                  <w:b w:val="false"/>
                  <w:color w:val="000080"/>
                  <w:sz w:val="24"/>
                  <w:u w:val="single"/>
                </w:rPr>
                <w:br/>
              </w:r>
            </w:hyperlink>
            <w:hyperlink w:anchor="i53a4b5de90fa4515b5f1d9e463069c41_73">
              <w:r>
                <w:rPr>
                  <w:rStyle w:val="InternetLink"/>
                  <w:rFonts w:ascii="Times New Roman;serif" w:hAnsi="Times New Roman;serif"/>
                  <w:b w:val="false"/>
                  <w:color w:val="000080"/>
                  <w:sz w:val="24"/>
                  <w:u w:val="single"/>
                </w:rPr>
                <w:t>Results of Operations</w:t>
              </w:r>
            </w:hyperlink>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a4b5de90fa4515b5f1d9e463069c41_73">
              <w:r>
                <w:rPr>
                  <w:rStyle w:val="InternetLink"/>
                  <w:rFonts w:ascii="Times New Roman;serif" w:hAnsi="Times New Roman;serif"/>
                  <w:b w:val="false"/>
                  <w:color w:val="0000FF"/>
                  <w:sz w:val="24"/>
                  <w:u w:val="single"/>
                </w:rPr>
                <w:t>23</w:t>
              </w:r>
            </w:hyperlink>
          </w:p>
        </w:tc>
      </w:tr>
      <w:tr>
        <w:trPr/>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4"/>
              </w:rPr>
            </w:pPr>
            <w:r>
              <w:rPr>
                <w:rFonts w:ascii="Times New Roman;serif" w:hAnsi="Times New Roman;serif"/>
                <w:b w:val="false"/>
                <w:color w:val="000000"/>
                <w:sz w:val="24"/>
              </w:rPr>
              <w:t>Item 3.</w:t>
            </w:r>
          </w:p>
        </w:tc>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a4b5de90fa4515b5f1d9e463069c41_103">
              <w:r>
                <w:rPr>
                  <w:rStyle w:val="InternetLink"/>
                  <w:rFonts w:ascii="Times New Roman;serif" w:hAnsi="Times New Roman;serif"/>
                  <w:b w:val="false"/>
                  <w:color w:val="0000FF"/>
                  <w:sz w:val="24"/>
                  <w:u w:val="single"/>
                </w:rPr>
                <w:t>Quantitative and Qualitative Disclosures About Market Risk</w:t>
              </w:r>
            </w:hyperlink>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a4b5de90fa4515b5f1d9e463069c41_103">
              <w:r>
                <w:rPr>
                  <w:rStyle w:val="InternetLink"/>
                  <w:rFonts w:ascii="Times New Roman;serif" w:hAnsi="Times New Roman;serif"/>
                  <w:b w:val="false"/>
                  <w:color w:val="0000FF"/>
                  <w:sz w:val="24"/>
                  <w:u w:val="single"/>
                </w:rPr>
                <w:t>32</w:t>
              </w:r>
            </w:hyperlink>
          </w:p>
        </w:tc>
      </w:tr>
      <w:tr>
        <w:trPr/>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4"/>
              </w:rPr>
            </w:pPr>
            <w:r>
              <w:rPr>
                <w:rFonts w:ascii="Times New Roman;serif" w:hAnsi="Times New Roman;serif"/>
                <w:b w:val="false"/>
                <w:color w:val="000000"/>
                <w:sz w:val="24"/>
              </w:rPr>
              <w:t>Item 4.</w:t>
            </w:r>
          </w:p>
        </w:tc>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a4b5de90fa4515b5f1d9e463069c41_106">
              <w:r>
                <w:rPr>
                  <w:rStyle w:val="InternetLink"/>
                  <w:rFonts w:ascii="Times New Roman;serif" w:hAnsi="Times New Roman;serif"/>
                  <w:b w:val="false"/>
                  <w:color w:val="0000FF"/>
                  <w:sz w:val="24"/>
                  <w:u w:val="single"/>
                </w:rPr>
                <w:t>Controls and Procedures</w:t>
              </w:r>
            </w:hyperlink>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a4b5de90fa4515b5f1d9e463069c41_106">
              <w:r>
                <w:rPr>
                  <w:rStyle w:val="InternetLink"/>
                  <w:rFonts w:ascii="Times New Roman;serif" w:hAnsi="Times New Roman;serif"/>
                  <w:b w:val="false"/>
                  <w:color w:val="0000FF"/>
                  <w:sz w:val="24"/>
                  <w:u w:val="single"/>
                </w:rPr>
                <w:t>32</w:t>
              </w:r>
            </w:hyperlink>
          </w:p>
        </w:tc>
      </w:tr>
      <w:tr>
        <w:trPr/>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Part II.</w:t>
            </w:r>
          </w:p>
        </w:tc>
        <w:tc>
          <w:tcPr>
            <w:tcW w:w="881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Other Information</w:t>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Item 5.</w:t>
            </w:r>
          </w:p>
        </w:tc>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3a4b5de90fa4515b5f1d9e463069c41_115">
              <w:r>
                <w:rPr>
                  <w:rStyle w:val="InternetLink"/>
                  <w:rFonts w:ascii="Times New Roman;serif" w:hAnsi="Times New Roman;serif"/>
                  <w:b w:val="false"/>
                  <w:color w:val="0000FF"/>
                  <w:sz w:val="24"/>
                  <w:u w:val="single"/>
                </w:rPr>
                <w:t>Other Events</w:t>
              </w:r>
            </w:hyperlink>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a4b5de90fa4515b5f1d9e463069c41_115">
              <w:r>
                <w:rPr>
                  <w:rStyle w:val="InternetLink"/>
                  <w:rFonts w:ascii="Times New Roman;serif" w:hAnsi="Times New Roman;serif"/>
                  <w:b w:val="false"/>
                  <w:color w:val="0000FF"/>
                  <w:sz w:val="24"/>
                  <w:u w:val="single"/>
                </w:rPr>
                <w:t>33</w:t>
              </w:r>
            </w:hyperlink>
          </w:p>
        </w:tc>
      </w:tr>
      <w:tr>
        <w:trPr/>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4"/>
              </w:rPr>
            </w:pPr>
            <w:r>
              <w:rPr>
                <w:rFonts w:ascii="Times New Roman;serif" w:hAnsi="Times New Roman;serif"/>
                <w:b w:val="false"/>
                <w:color w:val="000000"/>
                <w:sz w:val="24"/>
              </w:rPr>
              <w:t>Item 6.</w:t>
            </w:r>
          </w:p>
        </w:tc>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a4b5de90fa4515b5f1d9e463069c41_118">
              <w:r>
                <w:rPr>
                  <w:rStyle w:val="InternetLink"/>
                  <w:rFonts w:ascii="Times New Roman;serif" w:hAnsi="Times New Roman;serif"/>
                  <w:b w:val="false"/>
                  <w:color w:val="0000FF"/>
                  <w:sz w:val="24"/>
                  <w:u w:val="single"/>
                </w:rPr>
                <w:t>Exhibits</w:t>
              </w:r>
            </w:hyperlink>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a4b5de90fa4515b5f1d9e463069c41_118">
              <w:r>
                <w:rPr>
                  <w:rStyle w:val="InternetLink"/>
                  <w:rFonts w:ascii="Times New Roman;serif" w:hAnsi="Times New Roman;serif"/>
                  <w:b w:val="false"/>
                  <w:color w:val="0000FF"/>
                  <w:sz w:val="24"/>
                  <w:u w:val="single"/>
                </w:rPr>
                <w:t>33</w:t>
              </w:r>
            </w:hyperlink>
          </w:p>
        </w:tc>
      </w:tr>
      <w:tr>
        <w:trPr/>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53a4b5de90fa4515b5f1d9e463069c41_121">
              <w:r>
                <w:rPr>
                  <w:rStyle w:val="InternetLink"/>
                  <w:rFonts w:ascii="Times New Roman;serif" w:hAnsi="Times New Roman;serif"/>
                  <w:b/>
                  <w:color w:val="0000FF"/>
                  <w:sz w:val="24"/>
                  <w:u w:val="single"/>
                </w:rPr>
                <w:t>Signatures</w:t>
              </w:r>
            </w:hyperlink>
          </w:p>
        </w:tc>
        <w:tc>
          <w:tcPr>
            <w:tcW w:w="7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a4b5de90fa4515b5f1d9e463069c41_121">
              <w:r>
                <w:rPr>
                  <w:rStyle w:val="InternetLink"/>
                  <w:rFonts w:ascii="Times New Roman;serif" w:hAnsi="Times New Roman;serif"/>
                  <w:b w:val="false"/>
                  <w:color w:val="0000FF"/>
                  <w:sz w:val="24"/>
                  <w:u w:val="single"/>
                </w:rPr>
                <w:t>34</w:t>
              </w:r>
            </w:hyperlink>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PART I. FINANCIAL INFORMATION; 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HEICO CORPORATION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BALANCE SHEETS - 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per share data)</w:t>
      </w:r>
    </w:p>
    <w:tbl>
      <w:tblPr>
        <w:tblW w:w="10205" w:type="dxa"/>
        <w:jc w:val="center"/>
        <w:tblInd w:w="0" w:type="dxa"/>
        <w:tblLayout w:type="fixed"/>
        <w:tblCellMar>
          <w:top w:w="28" w:type="dxa"/>
          <w:left w:w="28" w:type="dxa"/>
          <w:bottom w:w="28" w:type="dxa"/>
          <w:right w:w="28" w:type="dxa"/>
        </w:tblCellMar>
      </w:tblPr>
      <w:tblGrid>
        <w:gridCol w:w="2451"/>
        <w:gridCol w:w="2007"/>
        <w:gridCol w:w="1966"/>
        <w:gridCol w:w="109"/>
        <w:gridCol w:w="109"/>
        <w:gridCol w:w="109"/>
        <w:gridCol w:w="585"/>
        <w:gridCol w:w="514"/>
        <w:gridCol w:w="418"/>
        <w:gridCol w:w="109"/>
        <w:gridCol w:w="109"/>
        <w:gridCol w:w="109"/>
        <w:gridCol w:w="543"/>
        <w:gridCol w:w="538"/>
        <w:gridCol w:w="529"/>
      </w:tblGrid>
      <w:tr>
        <w:trPr/>
        <w:tc>
          <w:tcPr>
            <w:tcW w:w="2451"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6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31, 2025</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6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$260,971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$217,781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652,024 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637,615 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116,900 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119,257 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1,338,421 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1,295,336 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111,298 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86,377 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2,479,614 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2,356,366 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448,992 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431,710 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3,905,669 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3,661,624 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1,642,001 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1,471,440 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567,420 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579,294 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$9,043,696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$8,500,434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r>
      <w:tr>
        <w:trPr/>
        <w:tc>
          <w:tcPr>
            <w:tcW w:w="6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240,984 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231,040 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534,458 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577,624 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31,762 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19,982 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810,600 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832,004 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2,504,285 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2,164,587 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148,056 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107,186 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535,026 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550,124 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3,997,967 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3,653,901 </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464,581 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467,358 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Preferred Stock, $.01 par value per share; 10,000 shares authorized; none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Common Stock, $.01 par value per share; 150,000 shares authorized; 55,143 and 55,143 shares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Class A Common Stock, $.01 par value per share; 150,000 shares authorized; 84,269 and 84,198 shares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in excess of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659,868 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650,667 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HEICO stock held by irrevocable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18,206 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3,823,219 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3,647,678 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HEICO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4,502,687 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4,305,319 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78,461 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73,856 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4,581,148 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4,379,175 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$9,043,696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$8,500,434 </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HEICO CORPORATION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OPERATIONS – 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per share data)</w:t>
      </w:r>
    </w:p>
    <w:tbl>
      <w:tblPr>
        <w:tblW w:w="9051" w:type="dxa"/>
        <w:jc w:val="center"/>
        <w:tblInd w:w="0" w:type="dxa"/>
        <w:tblLayout w:type="fixed"/>
        <w:tblCellMar>
          <w:top w:w="28" w:type="dxa"/>
          <w:left w:w="28" w:type="dxa"/>
          <w:bottom w:w="28" w:type="dxa"/>
          <w:right w:w="28" w:type="dxa"/>
        </w:tblCellMar>
      </w:tblPr>
      <w:tblGrid>
        <w:gridCol w:w="1747"/>
        <w:gridCol w:w="1531"/>
        <w:gridCol w:w="1551"/>
        <w:gridCol w:w="109"/>
        <w:gridCol w:w="109"/>
        <w:gridCol w:w="109"/>
        <w:gridCol w:w="798"/>
        <w:gridCol w:w="310"/>
        <w:gridCol w:w="310"/>
        <w:gridCol w:w="310"/>
        <w:gridCol w:w="310"/>
        <w:gridCol w:w="310"/>
        <w:gridCol w:w="798"/>
        <w:gridCol w:w="310"/>
        <w:gridCol w:w="439"/>
      </w:tblGrid>
      <w:tr>
        <w:trPr/>
        <w:tc>
          <w:tcPr>
            <w:tcW w:w="1747"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January 31,</w:t>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$1,178,582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$1,030,222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723,618 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624,560 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195,065 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178,857 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918,683 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803,417 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259,899 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226,805 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(29,486)</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(32,458)</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231,457 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195,266 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consolidated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204,757 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181,566 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13,611 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HEICO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$190,188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$167,955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HEICO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139,368 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138,837 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141,029 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140,484 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4"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HEICO CORPORATION AND SUBSIDIARIES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CONDENSED CONSOLIDATED STATEMENTS OF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COMPREHENSIVE INCOME – 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tbl>
      <w:tblPr>
        <w:tblW w:w="10205" w:type="dxa"/>
        <w:jc w:val="center"/>
        <w:tblInd w:w="0" w:type="dxa"/>
        <w:tblLayout w:type="fixed"/>
        <w:tblCellMar>
          <w:top w:w="28" w:type="dxa"/>
          <w:left w:w="28" w:type="dxa"/>
          <w:bottom w:w="28" w:type="dxa"/>
          <w:right w:w="28" w:type="dxa"/>
        </w:tblCellMar>
      </w:tblPr>
      <w:tblGrid>
        <w:gridCol w:w="2284"/>
        <w:gridCol w:w="1998"/>
        <w:gridCol w:w="2002"/>
        <w:gridCol w:w="109"/>
        <w:gridCol w:w="109"/>
        <w:gridCol w:w="109"/>
        <w:gridCol w:w="687"/>
        <w:gridCol w:w="305"/>
        <w:gridCol w:w="296"/>
        <w:gridCol w:w="296"/>
        <w:gridCol w:w="296"/>
        <w:gridCol w:w="296"/>
        <w:gridCol w:w="687"/>
        <w:gridCol w:w="305"/>
        <w:gridCol w:w="426"/>
      </w:tblGrid>
      <w:tr>
        <w:trPr/>
        <w:tc>
          <w:tcPr>
            <w:tcW w:w="2284"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January 31,</w:t>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consolidated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$204,757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$181,566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(28,814)</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defined benefit pension plan,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unrealized loss on defined benefit pension plan,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comprehensive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12,631 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(28,813)</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Comprehensive income from consolidated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217,388 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152,753 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noncontrolling interests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14,569 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13,611 </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14,575 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12,308 </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HEICO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$202,813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$140,445 </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1155"/>
                <wp:effectExtent l="0" t="0" r="0" b="0"/>
                <wp:wrapNone/>
                <wp:docPr id="5"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HEICO CORPORATION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SHAREHOLDERS’ EQUITY - 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 the Three Months Ended January 31, 2026 and 2025</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(in thousands, except per share data)</w:t>
      </w:r>
    </w:p>
    <w:tbl>
      <w:tblPr>
        <w:tblW w:w="13132" w:type="dxa"/>
        <w:jc w:val="center"/>
        <w:tblInd w:w="0" w:type="dxa"/>
        <w:tblLayout w:type="fixed"/>
        <w:tblCellMar>
          <w:top w:w="28" w:type="dxa"/>
          <w:left w:w="28" w:type="dxa"/>
          <w:bottom w:w="28" w:type="dxa"/>
          <w:right w:w="28" w:type="dxa"/>
        </w:tblCellMar>
      </w:tblPr>
      <w:tblGrid>
        <w:gridCol w:w="603"/>
        <w:gridCol w:w="201"/>
        <w:gridCol w:w="202"/>
        <w:gridCol w:w="351"/>
        <w:gridCol w:w="340"/>
        <w:gridCol w:w="341"/>
        <w:gridCol w:w="109"/>
        <w:gridCol w:w="109"/>
        <w:gridCol w:w="109"/>
        <w:gridCol w:w="226"/>
        <w:gridCol w:w="210"/>
        <w:gridCol w:w="211"/>
        <w:gridCol w:w="109"/>
        <w:gridCol w:w="109"/>
        <w:gridCol w:w="109"/>
        <w:gridCol w:w="226"/>
        <w:gridCol w:w="210"/>
        <w:gridCol w:w="211"/>
        <w:gridCol w:w="109"/>
        <w:gridCol w:w="109"/>
        <w:gridCol w:w="109"/>
        <w:gridCol w:w="506"/>
        <w:gridCol w:w="185"/>
        <w:gridCol w:w="186"/>
        <w:gridCol w:w="109"/>
        <w:gridCol w:w="109"/>
        <w:gridCol w:w="109"/>
        <w:gridCol w:w="320"/>
        <w:gridCol w:w="320"/>
        <w:gridCol w:w="321"/>
        <w:gridCol w:w="109"/>
        <w:gridCol w:w="109"/>
        <w:gridCol w:w="109"/>
        <w:gridCol w:w="286"/>
        <w:gridCol w:w="270"/>
        <w:gridCol w:w="271"/>
        <w:gridCol w:w="109"/>
        <w:gridCol w:w="109"/>
        <w:gridCol w:w="109"/>
        <w:gridCol w:w="340"/>
        <w:gridCol w:w="340"/>
        <w:gridCol w:w="341"/>
        <w:gridCol w:w="109"/>
        <w:gridCol w:w="109"/>
        <w:gridCol w:w="109"/>
        <w:gridCol w:w="404"/>
        <w:gridCol w:w="392"/>
        <w:gridCol w:w="221"/>
        <w:gridCol w:w="109"/>
        <w:gridCol w:w="109"/>
        <w:gridCol w:w="109"/>
        <w:gridCol w:w="340"/>
        <w:gridCol w:w="340"/>
        <w:gridCol w:w="341"/>
        <w:gridCol w:w="109"/>
        <w:gridCol w:w="109"/>
        <w:gridCol w:w="109"/>
        <w:gridCol w:w="521"/>
        <w:gridCol w:w="275"/>
        <w:gridCol w:w="337"/>
      </w:tblGrid>
      <w:tr>
        <w:trPr/>
        <w:tc>
          <w:tcPr>
            <w:tcW w:w="6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5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HEICO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Redeemable Noncontrolling Interests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Capital in Excess of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Deferred Compensation Obligation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HEICO Stock Held by Irrevocable Trust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4"/>
              </w:rPr>
            </w:pPr>
            <w:r>
              <w:rPr>
                <w:rFonts w:ascii="Times New Roman;serif" w:hAnsi="Times New Roman;serif"/>
                <w:b/>
                <w:color w:val="000000"/>
                <w:sz w:val="14"/>
              </w:rPr>
              <w:t>Total Shareholders' Equity</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as of October 31, 2025</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$467,358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$650,667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$8,096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($8,096)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$5,581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$3,647,678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$73,856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$4,379,175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 xml:space="preserve">Comprehensive income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9,801 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12,625 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190,188 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4,774 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207,587 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Cash dividends ($.12 per share)</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(16,724)</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(16,724)</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Share-based compensation expense</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11,296 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11,296 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Proceeds from stock option exercises</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2,895 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2,896 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Redemptions of common stock related to stock option exercises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(4,531)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(4,531)</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(7,012)</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w:t>
            </w:r>
          </w:p>
        </w:tc>
        <w:tc>
          <w:tcPr>
            <w:tcW w:w="33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Acquisitions of noncontrolling interests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(4,072)</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Adjustments to redemption amount of redeemable noncontrolling interests</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(2,176)</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2,176 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682 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(558)</w:t>
            </w:r>
          </w:p>
        </w:tc>
        <w:tc>
          <w:tcPr>
            <w:tcW w:w="33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as of January 31, 2026</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$464,581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$659,868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$8,096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($8,096)</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$18,206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$3,823,219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$78,461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$4,581,148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3147" w:type="dxa"/>
        <w:jc w:val="center"/>
        <w:tblInd w:w="0" w:type="dxa"/>
        <w:tblLayout w:type="fixed"/>
        <w:tblCellMar>
          <w:top w:w="28" w:type="dxa"/>
          <w:left w:w="28" w:type="dxa"/>
          <w:bottom w:w="28" w:type="dxa"/>
          <w:right w:w="28" w:type="dxa"/>
        </w:tblCellMar>
      </w:tblPr>
      <w:tblGrid>
        <w:gridCol w:w="618"/>
        <w:gridCol w:w="201"/>
        <w:gridCol w:w="202"/>
        <w:gridCol w:w="351"/>
        <w:gridCol w:w="340"/>
        <w:gridCol w:w="341"/>
        <w:gridCol w:w="109"/>
        <w:gridCol w:w="109"/>
        <w:gridCol w:w="109"/>
        <w:gridCol w:w="226"/>
        <w:gridCol w:w="210"/>
        <w:gridCol w:w="211"/>
        <w:gridCol w:w="109"/>
        <w:gridCol w:w="109"/>
        <w:gridCol w:w="109"/>
        <w:gridCol w:w="226"/>
        <w:gridCol w:w="210"/>
        <w:gridCol w:w="211"/>
        <w:gridCol w:w="109"/>
        <w:gridCol w:w="109"/>
        <w:gridCol w:w="109"/>
        <w:gridCol w:w="506"/>
        <w:gridCol w:w="185"/>
        <w:gridCol w:w="186"/>
        <w:gridCol w:w="109"/>
        <w:gridCol w:w="109"/>
        <w:gridCol w:w="109"/>
        <w:gridCol w:w="320"/>
        <w:gridCol w:w="320"/>
        <w:gridCol w:w="321"/>
        <w:gridCol w:w="109"/>
        <w:gridCol w:w="109"/>
        <w:gridCol w:w="109"/>
        <w:gridCol w:w="286"/>
        <w:gridCol w:w="270"/>
        <w:gridCol w:w="271"/>
        <w:gridCol w:w="109"/>
        <w:gridCol w:w="109"/>
        <w:gridCol w:w="109"/>
        <w:gridCol w:w="340"/>
        <w:gridCol w:w="340"/>
        <w:gridCol w:w="341"/>
        <w:gridCol w:w="109"/>
        <w:gridCol w:w="109"/>
        <w:gridCol w:w="109"/>
        <w:gridCol w:w="404"/>
        <w:gridCol w:w="392"/>
        <w:gridCol w:w="221"/>
        <w:gridCol w:w="109"/>
        <w:gridCol w:w="109"/>
        <w:gridCol w:w="109"/>
        <w:gridCol w:w="340"/>
        <w:gridCol w:w="340"/>
        <w:gridCol w:w="341"/>
        <w:gridCol w:w="109"/>
        <w:gridCol w:w="109"/>
        <w:gridCol w:w="109"/>
        <w:gridCol w:w="521"/>
        <w:gridCol w:w="275"/>
        <w:gridCol w:w="337"/>
      </w:tblGrid>
      <w:tr>
        <w:trPr/>
        <w:tc>
          <w:tcPr>
            <w:tcW w:w="61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5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HEICO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Redeemable Noncontrolling Interests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Capital in Excess of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Deferred Compensation Obligation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HEICO Stock Held by Irrevocable Trust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4"/>
              </w:rPr>
            </w:pPr>
            <w:r>
              <w:rPr>
                <w:rFonts w:ascii="Times New Roman;serif" w:hAnsi="Times New Roman;serif"/>
                <w:b/>
                <w:color w:val="000000"/>
                <w:sz w:val="14"/>
              </w:rPr>
              <w:t>Total Shareholders' Equity</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as of October 31, 2024</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$366,156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$599,399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$7,272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($7,272)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($26,076)</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$3,062,166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$60,529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$3,697,406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 xml:space="preserve">Comprehensive income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7,573 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(27,510)</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167,955 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4,735 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145,180 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Cash dividends ($.11 per share)</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(15,272)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(15,272)</w:t>
            </w:r>
          </w:p>
        </w:tc>
        <w:tc>
          <w:tcPr>
            <w:tcW w:w="33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for an acquisition</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10,122 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10,123 </w:t>
            </w:r>
          </w:p>
        </w:tc>
        <w:tc>
          <w:tcPr>
            <w:tcW w:w="33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to HEICO Savings and Investment Plan</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2,679 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2,679 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Share-based compensation expense</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4,671 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4,671 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Proceeds from stock option exercises</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1,597 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Redemptions of common stock related to stock option exercises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w:t>
            </w:r>
          </w:p>
        </w:tc>
        <w:tc>
          <w:tcPr>
            <w:tcW w:w="33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interests assumed related to acquisitions</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27,912 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(8,886)</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(1,063)</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(1,063)</w:t>
            </w:r>
          </w:p>
        </w:tc>
        <w:tc>
          <w:tcPr>
            <w:tcW w:w="33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Acquisitions of noncontrolling interests</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(3,258)</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Adjustments to redemption amount of redeemable noncontrolling interests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34,586 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(34,586)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(34,586)</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88 </w:t>
            </w:r>
          </w:p>
        </w:tc>
        <w:tc>
          <w:tcPr>
            <w:tcW w:w="33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as of January 31, 2025</w:t>
            </w:r>
          </w:p>
        </w:tc>
        <w:tc>
          <w:tcPr>
            <w:tcW w:w="6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$424,083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$839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$618,622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$7,272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($7,272)</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($53,586)</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$3,180,102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$64,201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$3,810,728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155"/>
                <wp:effectExtent l="0" t="0" r="0" b="0"/>
                <wp:wrapNone/>
                <wp:docPr id="6"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HEICO CORPORATION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 - UNAUDITED</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(in thousands)</w:t>
      </w:r>
    </w:p>
    <w:tbl>
      <w:tblPr>
        <w:tblW w:w="10205" w:type="dxa"/>
        <w:jc w:val="center"/>
        <w:tblInd w:w="0" w:type="dxa"/>
        <w:tblLayout w:type="fixed"/>
        <w:tblCellMar>
          <w:top w:w="28" w:type="dxa"/>
          <w:left w:w="28" w:type="dxa"/>
          <w:bottom w:w="28" w:type="dxa"/>
          <w:right w:w="28" w:type="dxa"/>
        </w:tblCellMar>
      </w:tblPr>
      <w:tblGrid>
        <w:gridCol w:w="2596"/>
        <w:gridCol w:w="2140"/>
        <w:gridCol w:w="2153"/>
        <w:gridCol w:w="687"/>
        <w:gridCol w:w="290"/>
        <w:gridCol w:w="251"/>
        <w:gridCol w:w="251"/>
        <w:gridCol w:w="251"/>
        <w:gridCol w:w="251"/>
        <w:gridCol w:w="687"/>
        <w:gridCol w:w="290"/>
        <w:gridCol w:w="358"/>
      </w:tblGrid>
      <w:tr>
        <w:trPr/>
        <w:tc>
          <w:tcPr>
            <w:tcW w:w="2596"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January 31,</w:t>
            </w:r>
          </w:p>
        </w:tc>
      </w:tr>
      <w:tr>
        <w:trPr/>
        <w:tc>
          <w:tcPr>
            <w:tcW w:w="6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consolidated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$204,757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$181,566 </w:t>
            </w:r>
          </w:p>
        </w:tc>
        <w:tc>
          <w:tcPr>
            <w:tcW w:w="3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from consolidated operations to net cash provided by operating activities:</w:t>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46,225 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4,671 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provision (benefit)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(7,052)</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contributions to HEICO Savings and Investment Plan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accrued contingent consideration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contingent consideration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acquisitions:</w:t>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accounts receivable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20,062 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contract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inventories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(36,207)</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prepaid expenses and 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(8,796)</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trade accounts payable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10,389 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accrued expenses and other current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(107,186)</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(63,898)</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income taxes payable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16,887 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changes in other long-term liabilities and assets related to </w:t>
            </w:r>
          </w:p>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HEICO Leadership Compensation Plan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13,022 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17,702 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178,597 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203,034 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(441,397)</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(254,763)</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related to HEICO Leadership Compensation Plan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(14,600)</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(13,496)</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(17,335)</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corporate-owned life insurance policy withdrawals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(446,967)</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(287,995)</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on revolving credit facility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145,000 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revolving credit facility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(103,000)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(16,724)</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(15,272)</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(10,236)</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Redemptions of common stock related to stock option exercises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noncontrolling interests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contingent consideration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 option exercises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309,576 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90,712 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year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217,781 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162,103 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9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$260,971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$165,467 </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7"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HEICO CORPORATION AND SUBSIDIARIES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1.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Basis of Presentation</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accompanying unaudited condensed consolidated financial statements of HEICO Corporation and its subsidiaries (collectively, “HEICO,” or the “Company”) have been prepared in conformity with accounting principles generally accepted in the United States of America for interim financial information and in accordance with the instructions to Form 10-Q. Therefore, the condensed consolidated financial statements do not include all information and footnotes normally included in annual consolidated financial statements and should be read in conjunction with the consolidated financial statements and notes thereto included in the Company’s Annual Report on Form 10-K for the year ended October 31, 2025. The October 31, 2025 Condensed Consolidated Balance Sheet has been derived from the Company’s audited consolidated financial statements. In the opinion of management, the unaudited condensed consolidated financial statements contain all adjustments (consisting principally of normal recurring accruals) necessary for a fair presentation of the condensed consolidated balance sheets, statements of operations, statements of comprehensive income, statements of shareholders' equity and statements of cash flows for such interim periods presented. The results of operations for the three months ended January 31, 2026 are not necessarily indicative of the results which may be expected for the entire fiscal year.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 has two operating segments: the Flight Support Group (“FSG”), consisting of HEICO Aerospace Holdings Corp. and HEICO Flight Support Corp. ("HFSC") and their respective subsidiaries; and the Electronic Technologies Group (“ETG”), consisting of HEICO Electronic Technologies Corp. ("HEICO Electronic") and its subsidiaries.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New Accounting Pronouncements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December 2023, the FASB issued ASU 2023-09, “Income Taxes (Topic 740): Improvements to Income Tax Disclosures,” which requires disclosure of specific categories in the annual effective tax rate reconciliation table and further disaggregation for reconciling items that meet a quantitative threshold. The ASU also requires the disaggregation of income taxes paid by jurisdiction. ASU 2023-09 may be applied either prospectively or retrospectively and is effective for fiscal years beginning after December 15, 2024, or in fiscal 2026 for HEICO. Early adoption is permitted. The adoption of this guidance will not affect the Company's consolidated results of operations, financial position or cash flows and the Company is currently evaluating the effect the guidance will have on its disclosures.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November 2024, the FASB issued ASU 2024-03, “Income Statement - Reporting Comprehensive Income - Expense Disaggregation Disclosures (Subtopic 220-40): Disaggregation of Income Statement Expenses,” which requires more detailed disclosures about specified categories of expenses (including purchases of inventory, employee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8"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intangible asset amortization, and depreciation) included in certain expense captions presented on the face of the income statement (such as cost of sales and selling, general and administrative "SG&amp;A" expenses). ASU 2024-03 is effective for fiscal years beginning after December 15, 2026, or in fiscal 2028 for HEICO, and interim reporting periods within fiscal years beginning one year later. Early adoption is permitted. The adoption of this guidance will not affect the Company's consolidated results of operations, financial position or cash flows and the Company is currently evaluating the effect the guidance will have on its disclosures.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2.     ACQUISITION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January 2026, the Company, through HEICO Electronic, acquired 100% of the equity of Axillon Aerospace’s Fuel Containment Business, which following the acquisition, was renamed Rockmart Fuel Containment, LLC (“Rockmart”). Rockmart designs and manufactures advanced fuel containment solutions, primarily for military fixed- and rotary-wing aircraft. The purchase price of this acquisition was paid in cash, using proceeds from the Company's revolving credit facility and is not material or significant to the Company's condensed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allocation of the total consideration for Rockmart to the tangible and identifiable intangible assets acquired and liabilities assumed is preliminary until the Company obtains final information regarding their fair values. However, the Company does not expect any adjustment to such allocation to be material to the Company's consolidated financial statements. The operating results of Rockmart were included in the Company’s results of operations as of its effective acquisition date. The amount of net sales and earnings of Rockmart included in the Condensed Consolidated Statement of Operations for the three months ended January 31, 2026 is not material. Had the Rockmart acquisition occurred as of November 1, 2024, net sales, net income from consolidated operations, net income attributable to HEICO, and basic and diluted net income per share attributable to HEICO shareholders on a pro forma basis for the three months ended January 31, 2026 and 2025 would not have been materially different than the reported amounts.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3.     SELECTED FINANCIAL STATEMENT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Accounts Receivable</w:t>
      </w:r>
    </w:p>
    <w:tbl>
      <w:tblPr>
        <w:tblW w:w="8078" w:type="dxa"/>
        <w:jc w:val="center"/>
        <w:tblInd w:w="0" w:type="dxa"/>
        <w:tblLayout w:type="fixed"/>
        <w:tblCellMar>
          <w:top w:w="28" w:type="dxa"/>
          <w:left w:w="28" w:type="dxa"/>
          <w:bottom w:w="28" w:type="dxa"/>
          <w:right w:w="28" w:type="dxa"/>
        </w:tblCellMar>
      </w:tblPr>
      <w:tblGrid>
        <w:gridCol w:w="1353"/>
        <w:gridCol w:w="1188"/>
        <w:gridCol w:w="1194"/>
        <w:gridCol w:w="109"/>
        <w:gridCol w:w="109"/>
        <w:gridCol w:w="109"/>
        <w:gridCol w:w="607"/>
        <w:gridCol w:w="607"/>
        <w:gridCol w:w="615"/>
        <w:gridCol w:w="109"/>
        <w:gridCol w:w="109"/>
        <w:gridCol w:w="109"/>
        <w:gridCol w:w="540"/>
        <w:gridCol w:w="540"/>
        <w:gridCol w:w="780"/>
      </w:tblGrid>
      <w:tr>
        <w:trPr/>
        <w:tc>
          <w:tcPr>
            <w:tcW w:w="135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of</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October 31, 2025</w:t>
            </w:r>
          </w:p>
        </w:tc>
      </w:tr>
      <w:tr>
        <w:trPr/>
        <w:tc>
          <w:tcPr>
            <w:tcW w:w="3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$664,391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$647,864 </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Less: Allowance for doubtful 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(12,367)</w:t>
            </w:r>
          </w:p>
        </w:tc>
        <w:tc>
          <w:tcPr>
            <w:tcW w:w="6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(10,249)</w:t>
            </w:r>
          </w:p>
        </w:tc>
        <w:tc>
          <w:tcPr>
            <w:tcW w:w="7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$652,024 </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$637,615 </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9"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Inventories</w:t>
      </w:r>
    </w:p>
    <w:tbl>
      <w:tblPr>
        <w:tblW w:w="8511" w:type="dxa"/>
        <w:jc w:val="center"/>
        <w:tblInd w:w="0" w:type="dxa"/>
        <w:tblLayout w:type="fixed"/>
        <w:tblCellMar>
          <w:top w:w="28" w:type="dxa"/>
          <w:left w:w="28" w:type="dxa"/>
          <w:bottom w:w="28" w:type="dxa"/>
          <w:right w:w="28" w:type="dxa"/>
        </w:tblCellMar>
      </w:tblPr>
      <w:tblGrid>
        <w:gridCol w:w="1412"/>
        <w:gridCol w:w="1242"/>
        <w:gridCol w:w="1246"/>
        <w:gridCol w:w="109"/>
        <w:gridCol w:w="109"/>
        <w:gridCol w:w="109"/>
        <w:gridCol w:w="709"/>
        <w:gridCol w:w="607"/>
        <w:gridCol w:w="615"/>
        <w:gridCol w:w="109"/>
        <w:gridCol w:w="109"/>
        <w:gridCol w:w="109"/>
        <w:gridCol w:w="631"/>
        <w:gridCol w:w="615"/>
        <w:gridCol w:w="780"/>
      </w:tblGrid>
      <w:tr>
        <w:trPr/>
        <w:tc>
          <w:tcPr>
            <w:tcW w:w="141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of</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October 31, 2025</w:t>
            </w:r>
          </w:p>
        </w:tc>
      </w:tr>
      <w:tr>
        <w:trPr/>
        <w:tc>
          <w:tcPr>
            <w:tcW w:w="3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Finished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$722,074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$715,286 </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Work in process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140,564 </w:t>
            </w:r>
          </w:p>
        </w:tc>
        <w:tc>
          <w:tcPr>
            <w:tcW w:w="6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119,611 </w:t>
            </w:r>
          </w:p>
        </w:tc>
        <w:tc>
          <w:tcPr>
            <w:tcW w:w="7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Materials, parts, assemblies and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475,783 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460,439 </w:t>
            </w:r>
          </w:p>
        </w:tc>
        <w:tc>
          <w:tcPr>
            <w:tcW w:w="7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Inventories, net of valuation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$1,338,421 </w:t>
            </w:r>
          </w:p>
        </w:tc>
        <w:tc>
          <w:tcPr>
            <w:tcW w:w="6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$1,295,336 </w:t>
            </w:r>
          </w:p>
        </w:tc>
        <w:tc>
          <w:tcPr>
            <w:tcW w:w="7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Property, Plant and Equipment</w:t>
      </w:r>
    </w:p>
    <w:tbl>
      <w:tblPr>
        <w:tblW w:w="9098" w:type="dxa"/>
        <w:jc w:val="center"/>
        <w:tblInd w:w="0" w:type="dxa"/>
        <w:tblLayout w:type="fixed"/>
        <w:tblCellMar>
          <w:top w:w="28" w:type="dxa"/>
          <w:left w:w="28" w:type="dxa"/>
          <w:bottom w:w="28" w:type="dxa"/>
          <w:right w:w="28" w:type="dxa"/>
        </w:tblCellMar>
      </w:tblPr>
      <w:tblGrid>
        <w:gridCol w:w="1721"/>
        <w:gridCol w:w="1513"/>
        <w:gridCol w:w="1521"/>
        <w:gridCol w:w="109"/>
        <w:gridCol w:w="109"/>
        <w:gridCol w:w="109"/>
        <w:gridCol w:w="607"/>
        <w:gridCol w:w="607"/>
        <w:gridCol w:w="615"/>
        <w:gridCol w:w="109"/>
        <w:gridCol w:w="109"/>
        <w:gridCol w:w="109"/>
        <w:gridCol w:w="540"/>
        <w:gridCol w:w="540"/>
        <w:gridCol w:w="780"/>
      </w:tblGrid>
      <w:tr>
        <w:trPr/>
        <w:tc>
          <w:tcPr>
            <w:tcW w:w="1721"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of</w:t>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October 31, 2025</w:t>
            </w:r>
          </w:p>
        </w:tc>
      </w:tr>
      <w:tr>
        <w:trPr/>
        <w:tc>
          <w:tcPr>
            <w:tcW w:w="4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$96,990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$85,134 </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Buildings and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255,693 </w:t>
            </w:r>
          </w:p>
        </w:tc>
        <w:tc>
          <w:tcPr>
            <w:tcW w:w="6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255,776 </w:t>
            </w:r>
          </w:p>
        </w:tc>
        <w:tc>
          <w:tcPr>
            <w:tcW w:w="7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Machinery, equipment and tooling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493,418 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476,735 </w:t>
            </w:r>
          </w:p>
        </w:tc>
        <w:tc>
          <w:tcPr>
            <w:tcW w:w="7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Construction in progress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25,973 </w:t>
            </w:r>
          </w:p>
        </w:tc>
        <w:tc>
          <w:tcPr>
            <w:tcW w:w="6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21,812 </w:t>
            </w:r>
          </w:p>
        </w:tc>
        <w:tc>
          <w:tcPr>
            <w:tcW w:w="7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872,074 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839,457 </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Less: Accumulated 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(423,082)</w:t>
            </w:r>
          </w:p>
        </w:tc>
        <w:tc>
          <w:tcPr>
            <w:tcW w:w="6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(407,747)</w:t>
            </w:r>
          </w:p>
        </w:tc>
        <w:tc>
          <w:tcPr>
            <w:tcW w:w="7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$448,992 </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$431,710 </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Accrued Customer Rebates and Credits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aggregate amount of accrued customer rebates and credits included within accrued expenses and other current liabilities in the accompanying Condensed Consolidated Balance Sheets was $36.8 million as of January 31, 2026 and $30.7 million as of October 31, 2025. The total customer rebates and credits deducted within net sales for the three months ended January 31, 2026 and 2025 was $6.4 million and $4.3 million, respectively.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Research and Development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amount of new product research and development ("R&amp;D") expenses included in cost of sales for the three months ended January 31, 2026 and 2025 is as follows (in thousands):</w:t>
      </w:r>
    </w:p>
    <w:tbl>
      <w:tblPr>
        <w:tblW w:w="5928" w:type="dxa"/>
        <w:jc w:val="center"/>
        <w:tblInd w:w="0" w:type="dxa"/>
        <w:tblLayout w:type="fixed"/>
        <w:tblCellMar>
          <w:top w:w="28" w:type="dxa"/>
          <w:left w:w="28" w:type="dxa"/>
          <w:bottom w:w="28" w:type="dxa"/>
          <w:right w:w="28" w:type="dxa"/>
        </w:tblCellMar>
      </w:tblPr>
      <w:tblGrid>
        <w:gridCol w:w="553"/>
        <w:gridCol w:w="487"/>
        <w:gridCol w:w="489"/>
        <w:gridCol w:w="109"/>
        <w:gridCol w:w="109"/>
        <w:gridCol w:w="109"/>
        <w:gridCol w:w="709"/>
        <w:gridCol w:w="358"/>
        <w:gridCol w:w="358"/>
        <w:gridCol w:w="358"/>
        <w:gridCol w:w="358"/>
        <w:gridCol w:w="358"/>
        <w:gridCol w:w="709"/>
        <w:gridCol w:w="358"/>
        <w:gridCol w:w="506"/>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 January 31,</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R&amp;D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$31,940 </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$27,605 </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10"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Redeemable Noncontrolling Interests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holders of equity interests in certain of the Company's subsidiaries have rights ("Put Rights") that may be exercised on varying dates causing the Company to purchase their equity interests through fiscal 2034. The Put Rights, all of which relate either to common shares or membership interests in limited liability companies, provide that the cash consideration to be paid for their equity interests (the "Redemption Amount") be at fair value or a formula that management intended to reasonably approximate fair value based solely on a multiple of future earnings over a measurement period. Management's estimate of the aggregate Redemption Amount of all Put Rights that the Company could be required to pay is as follows (in thousands):</w:t>
      </w:r>
    </w:p>
    <w:tbl>
      <w:tblPr>
        <w:tblW w:w="9232" w:type="dxa"/>
        <w:jc w:val="center"/>
        <w:tblInd w:w="0" w:type="dxa"/>
        <w:tblLayout w:type="fixed"/>
        <w:tblCellMar>
          <w:top w:w="28" w:type="dxa"/>
          <w:left w:w="28" w:type="dxa"/>
          <w:bottom w:w="28" w:type="dxa"/>
          <w:right w:w="28" w:type="dxa"/>
        </w:tblCellMar>
      </w:tblPr>
      <w:tblGrid>
        <w:gridCol w:w="1770"/>
        <w:gridCol w:w="1556"/>
        <w:gridCol w:w="1563"/>
        <w:gridCol w:w="109"/>
        <w:gridCol w:w="109"/>
        <w:gridCol w:w="109"/>
        <w:gridCol w:w="607"/>
        <w:gridCol w:w="607"/>
        <w:gridCol w:w="615"/>
        <w:gridCol w:w="109"/>
        <w:gridCol w:w="109"/>
        <w:gridCol w:w="109"/>
        <w:gridCol w:w="540"/>
        <w:gridCol w:w="540"/>
        <w:gridCol w:w="780"/>
      </w:tblGrid>
      <w:tr>
        <w:trPr/>
        <w:tc>
          <w:tcPr>
            <w:tcW w:w="177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of</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October 31, 2025</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Redeemable at fair value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$354,047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$356,850 </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Redeemable based on a multiple of future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110,534 </w:t>
            </w:r>
          </w:p>
        </w:tc>
        <w:tc>
          <w:tcPr>
            <w:tcW w:w="6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110,508 </w:t>
            </w:r>
          </w:p>
        </w:tc>
        <w:tc>
          <w:tcPr>
            <w:tcW w:w="7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$464,581 </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$467,358 </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During fiscal 2022, the holder of a 19.9% noncontrolling equity interest in a subsidiary of the FSG that was acquired in fiscal 2015 exercised their option to cause the Company to purchase their noncontrolling interest over a four-year period ending in fiscal 2026. Accordingly, the Company acquired the remaining equity interest in December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Accumulated Other Comprehensive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Changes in the components of accumulated other comprehensive income for the three months ended January 31, 2026 are as follows (in thousands):</w:t>
      </w:r>
    </w:p>
    <w:tbl>
      <w:tblPr>
        <w:tblW w:w="10205" w:type="dxa"/>
        <w:jc w:val="center"/>
        <w:tblInd w:w="0" w:type="dxa"/>
        <w:tblLayout w:type="fixed"/>
        <w:tblCellMar>
          <w:top w:w="28" w:type="dxa"/>
          <w:left w:w="28" w:type="dxa"/>
          <w:bottom w:w="28" w:type="dxa"/>
          <w:right w:w="28" w:type="dxa"/>
        </w:tblCellMar>
      </w:tblPr>
      <w:tblGrid>
        <w:gridCol w:w="994"/>
        <w:gridCol w:w="744"/>
        <w:gridCol w:w="746"/>
        <w:gridCol w:w="109"/>
        <w:gridCol w:w="109"/>
        <w:gridCol w:w="109"/>
        <w:gridCol w:w="836"/>
        <w:gridCol w:w="792"/>
        <w:gridCol w:w="794"/>
        <w:gridCol w:w="109"/>
        <w:gridCol w:w="109"/>
        <w:gridCol w:w="109"/>
        <w:gridCol w:w="743"/>
        <w:gridCol w:w="709"/>
        <w:gridCol w:w="711"/>
        <w:gridCol w:w="109"/>
        <w:gridCol w:w="109"/>
        <w:gridCol w:w="109"/>
        <w:gridCol w:w="629"/>
        <w:gridCol w:w="629"/>
        <w:gridCol w:w="897"/>
      </w:tblGrid>
      <w:tr>
        <w:trPr/>
        <w:tc>
          <w:tcPr>
            <w:tcW w:w="99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2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Defined Benefit Pension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Accumulated </w:t>
              <w:br/>
              <w:t>Other</w:t>
              <w:br/>
              <w:t>Comprehensive Income</w:t>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Balances as of 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$6,187 </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($606)</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$5,581 </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Unrealized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12,626 </w:t>
            </w:r>
          </w:p>
        </w:tc>
        <w:tc>
          <w:tcPr>
            <w:tcW w:w="7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w:t>
            </w:r>
          </w:p>
        </w:tc>
        <w:tc>
          <w:tcPr>
            <w:tcW w:w="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12,619 </w:t>
            </w:r>
          </w:p>
        </w:tc>
        <w:tc>
          <w:tcPr>
            <w:tcW w:w="8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Amortization of unrealized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6 </w:t>
            </w:r>
          </w:p>
        </w:tc>
        <w:tc>
          <w:tcPr>
            <w:tcW w:w="7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6 </w:t>
            </w:r>
          </w:p>
        </w:tc>
        <w:tc>
          <w:tcPr>
            <w:tcW w:w="8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Balances as of 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$18,813 </w:t>
            </w:r>
          </w:p>
        </w:tc>
        <w:tc>
          <w:tcPr>
            <w:tcW w:w="7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($607)</w:t>
            </w:r>
          </w:p>
        </w:tc>
        <w:tc>
          <w:tcPr>
            <w:tcW w:w="7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$18,206 </w:t>
            </w:r>
          </w:p>
        </w:tc>
        <w:tc>
          <w:tcPr>
            <w:tcW w:w="8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11"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4.     GOODWILL AND OTHER INTANGIBLE ASSETS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Changes in the carrying amount of goodwill by operating segment for the three months ended January 31, 2026 are as follows (in thousands):</w:t>
      </w:r>
    </w:p>
    <w:tbl>
      <w:tblPr>
        <w:tblW w:w="9571" w:type="dxa"/>
        <w:jc w:val="center"/>
        <w:tblInd w:w="0" w:type="dxa"/>
        <w:tblLayout w:type="fixed"/>
        <w:tblCellMar>
          <w:top w:w="28" w:type="dxa"/>
          <w:left w:w="28" w:type="dxa"/>
          <w:bottom w:w="28" w:type="dxa"/>
          <w:right w:w="28" w:type="dxa"/>
        </w:tblCellMar>
      </w:tblPr>
      <w:tblGrid>
        <w:gridCol w:w="1423"/>
        <w:gridCol w:w="1251"/>
        <w:gridCol w:w="1256"/>
        <w:gridCol w:w="623"/>
        <w:gridCol w:w="623"/>
        <w:gridCol w:w="181"/>
        <w:gridCol w:w="109"/>
        <w:gridCol w:w="109"/>
        <w:gridCol w:w="109"/>
        <w:gridCol w:w="623"/>
        <w:gridCol w:w="623"/>
        <w:gridCol w:w="196"/>
        <w:gridCol w:w="109"/>
        <w:gridCol w:w="109"/>
        <w:gridCol w:w="109"/>
        <w:gridCol w:w="623"/>
        <w:gridCol w:w="623"/>
        <w:gridCol w:w="872"/>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Consolidated Totals</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ETG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Balances as of October 31, 2025</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$1,997,178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$1,664,446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$3,661,624 </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Goodwill acquired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247,714 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247,714 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Foreign currency translation adjustments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1,182 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5,788 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6,970 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Adjustments to goodwill</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(10,839)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(10,639)</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Balances as of January 31, 2026</w:t>
            </w:r>
          </w:p>
        </w:tc>
        <w:tc>
          <w:tcPr>
            <w:tcW w:w="12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$1,998,560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$1,907,109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$3,905,669 </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goodwill acquired pertains to the fiscal 2026 acquisition described in Note 2, Acquisition, and represents the residual value after the allocation of the total consideration to the tangible and identifiable intangible assets acquired and liabilities assumed. The Company estimates that $56 million of the goodwill acquired in fiscal 2026 will be deductible for income tax purposes. Foreign currency translation adjustments are included in other comprehensive income (loss) in the Company's Condensed Consolidated Statements of Comprehensive Income. The adjustments to goodwill represent immaterial measurement period adjustments to the allocation of the purchase consideration of certain fiscal 2025 acquisitions.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Identifiable intangible assets consist of the following (in thousands):</w:t>
      </w:r>
    </w:p>
    <w:tbl>
      <w:tblPr>
        <w:tblW w:w="11761" w:type="dxa"/>
        <w:jc w:val="center"/>
        <w:tblInd w:w="0" w:type="dxa"/>
        <w:tblLayout w:type="fixed"/>
        <w:tblCellMar>
          <w:top w:w="28" w:type="dxa"/>
          <w:left w:w="28" w:type="dxa"/>
          <w:bottom w:w="28" w:type="dxa"/>
          <w:right w:w="28" w:type="dxa"/>
        </w:tblCellMar>
      </w:tblPr>
      <w:tblGrid>
        <w:gridCol w:w="723"/>
        <w:gridCol w:w="397"/>
        <w:gridCol w:w="336"/>
        <w:gridCol w:w="109"/>
        <w:gridCol w:w="109"/>
        <w:gridCol w:w="109"/>
        <w:gridCol w:w="719"/>
        <w:gridCol w:w="362"/>
        <w:gridCol w:w="301"/>
        <w:gridCol w:w="109"/>
        <w:gridCol w:w="109"/>
        <w:gridCol w:w="109"/>
        <w:gridCol w:w="531"/>
        <w:gridCol w:w="415"/>
        <w:gridCol w:w="416"/>
        <w:gridCol w:w="109"/>
        <w:gridCol w:w="109"/>
        <w:gridCol w:w="109"/>
        <w:gridCol w:w="649"/>
        <w:gridCol w:w="432"/>
        <w:gridCol w:w="301"/>
        <w:gridCol w:w="109"/>
        <w:gridCol w:w="109"/>
        <w:gridCol w:w="109"/>
        <w:gridCol w:w="719"/>
        <w:gridCol w:w="362"/>
        <w:gridCol w:w="301"/>
        <w:gridCol w:w="109"/>
        <w:gridCol w:w="109"/>
        <w:gridCol w:w="109"/>
        <w:gridCol w:w="531"/>
        <w:gridCol w:w="415"/>
        <w:gridCol w:w="416"/>
        <w:gridCol w:w="109"/>
        <w:gridCol w:w="109"/>
        <w:gridCol w:w="109"/>
        <w:gridCol w:w="584"/>
        <w:gridCol w:w="497"/>
        <w:gridCol w:w="392"/>
      </w:tblGrid>
      <w:tr>
        <w:trPr/>
        <w:tc>
          <w:tcPr>
            <w:tcW w:w="72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October 31, 2025</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$1,268,617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($398,934)</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$869,683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$1,131,443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($373,100)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$758,343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610,106 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(164,457)</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445,649 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540,836 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(153,783)</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387,053 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(8,237)</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(8,127)</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1,887,410 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(571,628)</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1,315,782 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1,680,930 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(535,010)</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1,145,920 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Non-Amortizing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326,219 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326,219 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325,520 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325,520 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$2,213,629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($571,628)</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$1,642,001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$2,006,450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($535,010)</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$1,471,440 </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increase in the gross carrying amount of customer relationships and intellectual property as of January 31, 2026 compared to October 31, 2025 principally relates to such intangible assets recognized in connection with the fiscal 2026 acquisition (see Note 2, Acquisition).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Amortization expense related to intangible assets for the three months ended January 31, 2026 and 2025 was $35.9 million and $32.2 million, respectively. Amortization expense related to intangible assets for the remainder of fiscal 2026 is estimated to be $117.2 million. Amortization expense for each of the next five fiscal years and thereafter is estimated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2"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$151.5 million in fiscal 2027, $144.7 million in fiscal 2028, $138.4 million in fiscal 2029, $130.9 million in fiscal 2030, $120.5 million in fiscal 2031, and $512.6 million thereafter.</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5.     LONG-TERM DEBT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Long-term debt consists of the following (in thousands):</w:t>
      </w:r>
    </w:p>
    <w:tbl>
      <w:tblPr>
        <w:tblW w:w="8756" w:type="dxa"/>
        <w:jc w:val="center"/>
        <w:tblInd w:w="0" w:type="dxa"/>
        <w:tblLayout w:type="fixed"/>
        <w:tblCellMar>
          <w:top w:w="28" w:type="dxa"/>
          <w:left w:w="28" w:type="dxa"/>
          <w:bottom w:w="28" w:type="dxa"/>
          <w:right w:w="28" w:type="dxa"/>
        </w:tblCellMar>
      </w:tblPr>
      <w:tblGrid>
        <w:gridCol w:w="1525"/>
        <w:gridCol w:w="1342"/>
        <w:gridCol w:w="1348"/>
        <w:gridCol w:w="109"/>
        <w:gridCol w:w="109"/>
        <w:gridCol w:w="109"/>
        <w:gridCol w:w="623"/>
        <w:gridCol w:w="623"/>
        <w:gridCol w:w="615"/>
        <w:gridCol w:w="109"/>
        <w:gridCol w:w="109"/>
        <w:gridCol w:w="109"/>
        <w:gridCol w:w="630"/>
        <w:gridCol w:w="616"/>
        <w:gridCol w:w="780"/>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of</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October 31, 2025</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Borrowings under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$1,300,000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$960,000 </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2028 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600,000 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600,000 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2033 senior unsecured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600,000 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600,000 </w:t>
            </w:r>
          </w:p>
        </w:tc>
        <w:tc>
          <w:tcPr>
            <w:tcW w:w="7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Finance leases and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17,160 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17,890 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Less: Debt discount and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(9,479)</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(9,945)</w:t>
            </w:r>
          </w:p>
        </w:tc>
        <w:tc>
          <w:tcPr>
            <w:tcW w:w="7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2,507,681 </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2,167,945 </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Less: 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(3,396)</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(3,358)</w:t>
            </w:r>
          </w:p>
        </w:tc>
        <w:tc>
          <w:tcPr>
            <w:tcW w:w="7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$2,504,285 </w:t>
            </w:r>
          </w:p>
        </w:tc>
        <w:tc>
          <w:tcPr>
            <w:tcW w:w="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$2,164,587 </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Revolving Credit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Company's borrowings under its revolving credit facility mature in fiscal 2028. As of January 31, 2026 and October 31, 2025, the weighted average interest rate on borrowings under the Company's revolving credit facility ("Credit Facility") was 5.0% and 5.3%, respectively. The Credit Facility contains both financial and non-financial covenants. As of January 31, 2026, the Company was in compliance with all such covenants.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Senior Unsecured Notes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Company's senior unsecured notes consist of $600 million principal amount of 5.25% Senior Notes due August 1, 2028 (the "2028 Notes") and $600 million principal amount of 5.35% Senior Notes due August 1, 2033 (the "2033 Notes" and, collectively with the 2028 Notes, the "Notes"). Interest on the Notes is payable semi-annually in arrears on February 1 and August 1 of each year. The 2028 Notes and 2033 Notes each have an effective interest rate of 5.5%. The Notes are fully and unconditionally guaranteed on a senior unsecured basis by all of the Company's existing and future subsidiaries that guarantee the Company's obligations under the Credit Facility (the "Guarantor Group"). As of January 31, 2026, the Company was in compliance with all covenants related to the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following table sets forth the carrying value and estimated fair value of the Company’s Notes, which are classified as Level 1 financial instruments in the fair value hierarchy (in thousands). The Company estimated the fair value of the Notes by taking the weighted average of market quotes for the exact security on the last active trading day as of or prior to January 31, 2026 and October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3"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tbl>
      <w:tblPr>
        <w:tblW w:w="10066" w:type="dxa"/>
        <w:jc w:val="left"/>
        <w:tblInd w:w="0" w:type="dxa"/>
        <w:tblLayout w:type="fixed"/>
        <w:tblCellMar>
          <w:top w:w="28" w:type="dxa"/>
          <w:left w:w="28" w:type="dxa"/>
          <w:bottom w:w="28" w:type="dxa"/>
          <w:right w:w="28" w:type="dxa"/>
        </w:tblCellMar>
      </w:tblPr>
      <w:tblGrid>
        <w:gridCol w:w="434"/>
        <w:gridCol w:w="381"/>
        <w:gridCol w:w="385"/>
        <w:gridCol w:w="641"/>
        <w:gridCol w:w="605"/>
        <w:gridCol w:w="551"/>
        <w:gridCol w:w="266"/>
        <w:gridCol w:w="266"/>
        <w:gridCol w:w="266"/>
        <w:gridCol w:w="623"/>
        <w:gridCol w:w="623"/>
        <w:gridCol w:w="385"/>
        <w:gridCol w:w="109"/>
        <w:gridCol w:w="109"/>
        <w:gridCol w:w="109"/>
        <w:gridCol w:w="641"/>
        <w:gridCol w:w="605"/>
        <w:gridCol w:w="551"/>
        <w:gridCol w:w="258"/>
        <w:gridCol w:w="258"/>
        <w:gridCol w:w="258"/>
        <w:gridCol w:w="623"/>
        <w:gridCol w:w="623"/>
        <w:gridCol w:w="496"/>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of 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of October 31, 2025</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Carrying Value</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Carrying Value</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Fair Value</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2028 Notes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$596,738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$617,622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$596,437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$617,904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2033 Notes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593,783 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620,999 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593,618 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624,320 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Total </w:t>
            </w:r>
          </w:p>
        </w:tc>
        <w:tc>
          <w:tcPr>
            <w:tcW w:w="12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$1,190,521 </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$1,238,621 </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$1,190,055 </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$1,242,224 </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6.     REVENUE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Contract Balances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Contract assets (unbilled receivables) represent revenue recognized on contracts using an over-time recognition model in excess of amounts invoiced to the customer. Contract liabilities (deferred revenue) represent customer advances and billings in excess of revenue recognized and are included within accrued expenses and other current liabilities and other long-term liabilities in the Company’s Condensed Consolidated Balance Sheets.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following table presents the Company's contract assets and liabilities (in thousands):</w:t>
      </w:r>
    </w:p>
    <w:tbl>
      <w:tblPr>
        <w:tblW w:w="6866" w:type="dxa"/>
        <w:jc w:val="left"/>
        <w:tblInd w:w="0" w:type="dxa"/>
        <w:tblLayout w:type="fixed"/>
        <w:tblCellMar>
          <w:top w:w="28" w:type="dxa"/>
          <w:left w:w="28" w:type="dxa"/>
          <w:bottom w:w="28" w:type="dxa"/>
          <w:right w:w="28" w:type="dxa"/>
        </w:tblCellMar>
      </w:tblPr>
      <w:tblGrid>
        <w:gridCol w:w="1033"/>
        <w:gridCol w:w="905"/>
        <w:gridCol w:w="912"/>
        <w:gridCol w:w="607"/>
        <w:gridCol w:w="607"/>
        <w:gridCol w:w="615"/>
        <w:gridCol w:w="109"/>
        <w:gridCol w:w="109"/>
        <w:gridCol w:w="109"/>
        <w:gridCol w:w="540"/>
        <w:gridCol w:w="540"/>
        <w:gridCol w:w="780"/>
      </w:tblGrid>
      <w:tr>
        <w:trPr/>
        <w:tc>
          <w:tcPr>
            <w:tcW w:w="103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As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of</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October 31, 2025</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Contract assets, current </w:t>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$116,900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$119,257 </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Contract liabilities, current </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(102,725)</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(79,529)</w:t>
            </w:r>
          </w:p>
        </w:tc>
        <w:tc>
          <w:tcPr>
            <w:tcW w:w="7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Contract liabilities, long-term</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(77,378)</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(84,714)</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Total contract liabilities </w:t>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(180,103)</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(164,243)</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contract liabilities</w:t>
            </w:r>
          </w:p>
        </w:tc>
        <w:tc>
          <w:tcPr>
            <w:tcW w:w="121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($63,203)</w:t>
            </w:r>
          </w:p>
        </w:tc>
        <w:tc>
          <w:tcPr>
            <w:tcW w:w="61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($44,986)</w:t>
            </w:r>
          </w:p>
        </w:tc>
        <w:tc>
          <w:tcPr>
            <w:tcW w:w="78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increase in the Company's total contract liabilities during the first quarter of fiscal 2026 principally reflects the receipt of advance deposits on certain customer contracts, mainly at the FSG.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amount of revenue that the Company recognized during the first quarter of fiscal 2026 that was included in contract liabilities as of the beginning of fiscal 2026 was $29.6 million.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Remaining Performance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Backlog, which the Company believes to be the equivalent of its remaining performance obligations, represents contractually committed, or firm customer orders. As of January 31, 2026, the Company had $2,453.0 million of remaining performance obligations associated with firm contracts pertaining to many of the products offered by the FSG and ETG. The Company will recognize net sales as these obligations are satisfied. The Company expects to recognize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4"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$1,348.7 million of this amount during the remainder of fiscal 2026 and $1,104.3 million thereafter, of which the majority is expected to occur in fiscal 2027.</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Disaggregation of Revenue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The following table summarizes the Company’s net sales by product line for each operating segment (in thousands): </w:t>
      </w:r>
    </w:p>
    <w:tbl>
      <w:tblPr>
        <w:tblW w:w="9328" w:type="dxa"/>
        <w:jc w:val="left"/>
        <w:tblInd w:w="0" w:type="dxa"/>
        <w:tblLayout w:type="fixed"/>
        <w:tblCellMar>
          <w:top w:w="28" w:type="dxa"/>
          <w:left w:w="28" w:type="dxa"/>
          <w:bottom w:w="28" w:type="dxa"/>
          <w:right w:w="28" w:type="dxa"/>
        </w:tblCellMar>
      </w:tblPr>
      <w:tblGrid>
        <w:gridCol w:w="1750"/>
        <w:gridCol w:w="1534"/>
        <w:gridCol w:w="1546"/>
        <w:gridCol w:w="109"/>
        <w:gridCol w:w="109"/>
        <w:gridCol w:w="109"/>
        <w:gridCol w:w="919"/>
        <w:gridCol w:w="327"/>
        <w:gridCol w:w="310"/>
        <w:gridCol w:w="310"/>
        <w:gridCol w:w="310"/>
        <w:gridCol w:w="310"/>
        <w:gridCol w:w="919"/>
        <w:gridCol w:w="327"/>
        <w:gridCol w:w="439"/>
      </w:tblGrid>
      <w:tr>
        <w:trPr/>
        <w:tc>
          <w:tcPr>
            <w:tcW w:w="175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January 31,</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Flight Support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Aftermarket replacement parts </w:t>
            </w:r>
            <w:r>
              <w:rPr>
                <w:rFonts w:ascii="Times New Roman;serif" w:hAnsi="Times New Roman;serif"/>
                <w:b w:val="false"/>
                <w:color w:val="000000"/>
                <w:sz w:val="14"/>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$513,861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$456,028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Repair and overhaul parts and services </w:t>
            </w:r>
            <w:r>
              <w:rPr>
                <w:rFonts w:ascii="Times New Roman;serif" w:hAnsi="Times New Roman;serif"/>
                <w:b w:val="false"/>
                <w:color w:val="000000"/>
                <w:sz w:val="14"/>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196,654 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155,449 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Specialty products </w:t>
            </w:r>
            <w:r>
              <w:rPr>
                <w:rFonts w:ascii="Times New Roman;serif" w:hAnsi="Times New Roman;serif"/>
                <w:b w:val="false"/>
                <w:color w:val="000000"/>
                <w:sz w:val="14"/>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109,485 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101,697 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820,000 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713,174 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Electronic Technologies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Electronic component parts primarily for defense, </w:t>
            </w:r>
          </w:p>
          <w:p>
            <w:pPr>
              <w:pStyle w:val="TableContents"/>
              <w:bidi w:val="0"/>
              <w:spacing w:lineRule="auto" w:line="240" w:before="0" w:after="0"/>
              <w:ind w:left="0" w:right="0" w:firstLine="180"/>
              <w:jc w:val="left"/>
              <w:rPr/>
            </w:pPr>
            <w:r>
              <w:rPr>
                <w:rFonts w:ascii="Times New Roman;serif" w:hAnsi="Times New Roman;serif"/>
                <w:b w:val="false"/>
                <w:color w:val="000000"/>
                <w:sz w:val="22"/>
              </w:rPr>
              <w:t xml:space="preserve">space and aerospace equipment </w:t>
            </w:r>
            <w:r>
              <w:rPr>
                <w:rFonts w:ascii="Times New Roman;serif" w:hAnsi="Times New Roman;serif"/>
                <w:b w:val="false"/>
                <w:color w:val="000000"/>
                <w:sz w:val="14"/>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301,162 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263,622 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Electronic component parts for equipment </w:t>
            </w:r>
          </w:p>
          <w:p>
            <w:pPr>
              <w:pStyle w:val="TableContents"/>
              <w:bidi w:val="0"/>
              <w:spacing w:lineRule="auto" w:line="240" w:before="0" w:after="0"/>
              <w:ind w:left="0" w:right="0" w:firstLine="180"/>
              <w:jc w:val="left"/>
              <w:rPr/>
            </w:pPr>
            <w:r>
              <w:rPr>
                <w:rFonts w:ascii="Times New Roman;serif" w:hAnsi="Times New Roman;serif"/>
                <w:b w:val="false"/>
                <w:color w:val="000000"/>
                <w:sz w:val="22"/>
              </w:rPr>
              <w:t xml:space="preserve">in various other industries </w:t>
            </w:r>
            <w:r>
              <w:rPr>
                <w:rFonts w:ascii="Times New Roman;serif" w:hAnsi="Times New Roman;serif"/>
                <w:b w:val="false"/>
                <w:color w:val="000000"/>
                <w:sz w:val="14"/>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69,513 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66,693 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370,675 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330,315 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Intersegment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(12,093)</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(13,267)</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consolidated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$1,178,582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$1,030,222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ind w:left="0" w:right="0" w:hanging="225"/>
        <w:jc w:val="left"/>
        <w:rPr/>
      </w:pPr>
      <w:r>
        <w:rPr>
          <w:rFonts w:ascii="Times New Roman;serif" w:hAnsi="Times New Roman;serif"/>
          <w:b w:val="false"/>
          <w:color w:val="000000"/>
          <w:sz w:val="14"/>
        </w:rPr>
        <w:t>(1)    </w:t>
      </w:r>
      <w:r>
        <w:rPr>
          <w:rFonts w:ascii="Times New Roman;serif" w:hAnsi="Times New Roman;serif"/>
          <w:b w:val="false"/>
          <w:color w:val="000000"/>
          <w:sz w:val="22"/>
        </w:rPr>
        <w:t>Includes various jet engine and aircraft component replacement parts.</w:t>
      </w:r>
    </w:p>
    <w:p>
      <w:pPr>
        <w:pStyle w:val="TextBody"/>
        <w:bidi w:val="0"/>
        <w:spacing w:lineRule="auto" w:line="288" w:before="0" w:after="60"/>
        <w:ind w:left="0" w:right="0" w:hanging="225"/>
        <w:jc w:val="left"/>
        <w:rPr/>
      </w:pPr>
      <w:r>
        <w:rPr>
          <w:rFonts w:ascii="Times New Roman;serif" w:hAnsi="Times New Roman;serif"/>
          <w:b w:val="false"/>
          <w:color w:val="000000"/>
          <w:sz w:val="14"/>
        </w:rPr>
        <w:t>(2)    </w:t>
      </w:r>
      <w:r>
        <w:rPr>
          <w:rFonts w:ascii="Times New Roman;serif" w:hAnsi="Times New Roman;serif"/>
          <w:b w:val="false"/>
          <w:color w:val="000000"/>
          <w:sz w:val="22"/>
        </w:rPr>
        <w:t>Includes primarily the sale of parts consumed in various repair and overhaul services on selected jet engine and aircraft components, avionics, instruments, composites and flight surfaces of commercial and military aircraft.</w:t>
      </w:r>
    </w:p>
    <w:p>
      <w:pPr>
        <w:pStyle w:val="TextBody"/>
        <w:bidi w:val="0"/>
        <w:spacing w:lineRule="auto" w:line="288" w:before="0" w:after="60"/>
        <w:ind w:left="0" w:right="0" w:hanging="225"/>
        <w:jc w:val="left"/>
        <w:rPr/>
      </w:pPr>
      <w:r>
        <w:rPr>
          <w:rFonts w:ascii="Times New Roman;serif" w:hAnsi="Times New Roman;serif"/>
          <w:b w:val="false"/>
          <w:color w:val="000000"/>
          <w:sz w:val="14"/>
        </w:rPr>
        <w:t>(3)    </w:t>
      </w:r>
      <w:r>
        <w:rPr>
          <w:rFonts w:ascii="Times New Roman;serif" w:hAnsi="Times New Roman;serif"/>
          <w:b w:val="false"/>
          <w:color w:val="000000"/>
          <w:sz w:val="22"/>
        </w:rPr>
        <w:t>Includes primarily the sale of specialty components such as thermal insulation blankets, renewable/reusable insulation systems, advanced niche components, complex composite assemblies, expanded foil mesh, emergency descent devices, personnel and cargo parachute products, and missile hardware and components, as well as machining, brazing, fabricating and welding services.</w:t>
      </w:r>
    </w:p>
    <w:p>
      <w:pPr>
        <w:pStyle w:val="TextBody"/>
        <w:bidi w:val="0"/>
        <w:spacing w:lineRule="auto" w:line="288" w:before="0" w:after="60"/>
        <w:ind w:left="0" w:right="0" w:hanging="225"/>
        <w:jc w:val="left"/>
        <w:rPr/>
      </w:pPr>
      <w:r>
        <w:rPr>
          <w:rFonts w:ascii="Times New Roman;serif" w:hAnsi="Times New Roman;serif"/>
          <w:b w:val="false"/>
          <w:color w:val="000000"/>
          <w:sz w:val="14"/>
        </w:rPr>
        <w:t>(4)    </w:t>
      </w:r>
      <w:r>
        <w:rPr>
          <w:rFonts w:ascii="Times New Roman;serif" w:hAnsi="Times New Roman;serif"/>
          <w:b w:val="false"/>
          <w:color w:val="000000"/>
          <w:sz w:val="22"/>
        </w:rPr>
        <w:t>Includes various component parts such as electro-optical infrared simulation and test equipment, electro-optical laser products, electro-optical, microwave and other power equipment, high-speed interface products, power conversion products, power distribution solutions, underwater locator beacons, emergency locator transmission beacons, traveling wave tube amplifiers, microwave power modules, a wide variety of memory products and radio frequency (RF) and microwave products, crashworthy primary fuel system bladders and ballistically self-sealing auxiliary fuel systems, high performance communications and electronic intercept receivers and tuners, high performance active antenna systems and airborne antennas, technical surveillance countermeasures (TSCM) equipment, custom high power filters and filter assemblies, radiation assurance services and products, and high-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5"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60"/>
        <w:jc w:val="left"/>
        <w:rPr>
          <w:rFonts w:ascii="Times New Roman;serif" w:hAnsi="Times New Roman;serif"/>
          <w:b w:val="false"/>
          <w:color w:val="000000"/>
          <w:sz w:val="22"/>
        </w:rPr>
      </w:pPr>
      <w:r>
        <w:rPr>
          <w:rFonts w:ascii="Times New Roman;serif" w:hAnsi="Times New Roman;serif"/>
          <w:b w:val="false"/>
          <w:color w:val="000000"/>
          <w:sz w:val="22"/>
        </w:rPr>
        <w:t>reliability, complex, passive electronic components and rotary joint assemblies, proprietary in-cabin power and entertainment components and subsystems, and cockpit displays and other avionics components.</w:t>
      </w:r>
    </w:p>
    <w:p>
      <w:pPr>
        <w:pStyle w:val="TextBody"/>
        <w:bidi w:val="0"/>
        <w:spacing w:lineRule="auto" w:line="288" w:before="0" w:after="60"/>
        <w:ind w:left="0" w:right="0" w:hanging="225"/>
        <w:jc w:val="left"/>
        <w:rPr/>
      </w:pPr>
      <w:r>
        <w:rPr>
          <w:rFonts w:ascii="Times New Roman;serif" w:hAnsi="Times New Roman;serif"/>
          <w:b w:val="false"/>
          <w:color w:val="000000"/>
          <w:sz w:val="14"/>
        </w:rPr>
        <w:t>(5)</w:t>
      </w:r>
      <w:r>
        <w:rPr>
          <w:color w:val="000000"/>
        </w:rPr>
        <w:t>    </w:t>
      </w:r>
      <w:r>
        <w:rPr>
          <w:rFonts w:ascii="Times New Roman;serif" w:hAnsi="Times New Roman;serif"/>
          <w:b w:val="false"/>
          <w:color w:val="000000"/>
          <w:sz w:val="22"/>
        </w:rPr>
        <w:t>Includes various component parts such as electromagnetic and radio frequency interference shielding, high voltage interconnection devices, high voltage advanced power electronics, harsh environment connectivity products, custom molded cable assemblies, silicone material for a variety of demanding applications, and rugged small form-factor embedded computing solutions, and high performance test sockets and adaptors.</w:t>
      </w:r>
    </w:p>
    <w:p>
      <w:pPr>
        <w:pStyle w:val="TextBody"/>
        <w:bidi w:val="0"/>
        <w:spacing w:before="0" w:after="0"/>
        <w:ind w:left="0" w:right="0" w:hanging="225"/>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The following table summarizes the Company’s net sales by industry for each operating segment (in thousands): </w:t>
      </w:r>
    </w:p>
    <w:tbl>
      <w:tblPr>
        <w:tblW w:w="7602" w:type="dxa"/>
        <w:jc w:val="left"/>
        <w:tblInd w:w="0" w:type="dxa"/>
        <w:tblLayout w:type="fixed"/>
        <w:tblCellMar>
          <w:top w:w="28" w:type="dxa"/>
          <w:left w:w="28" w:type="dxa"/>
          <w:bottom w:w="28" w:type="dxa"/>
          <w:right w:w="28" w:type="dxa"/>
        </w:tblCellMar>
      </w:tblPr>
      <w:tblGrid>
        <w:gridCol w:w="1125"/>
        <w:gridCol w:w="986"/>
        <w:gridCol w:w="993"/>
        <w:gridCol w:w="109"/>
        <w:gridCol w:w="109"/>
        <w:gridCol w:w="109"/>
        <w:gridCol w:w="919"/>
        <w:gridCol w:w="327"/>
        <w:gridCol w:w="310"/>
        <w:gridCol w:w="310"/>
        <w:gridCol w:w="310"/>
        <w:gridCol w:w="310"/>
        <w:gridCol w:w="919"/>
        <w:gridCol w:w="327"/>
        <w:gridCol w:w="439"/>
      </w:tblGrid>
      <w:tr>
        <w:trPr/>
        <w:tc>
          <w:tcPr>
            <w:tcW w:w="112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January 31,</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Flight Support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Aerospace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$626,472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$533,621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Defense and Space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179,377 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165,889 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Other </w:t>
            </w:r>
            <w:r>
              <w:rPr>
                <w:rFonts w:ascii="Times New Roman;serif" w:hAnsi="Times New Roman;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14,151 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13,664 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820,000 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713,174 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Electronic Technologies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Defense and Space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170,363 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170,741 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Other </w:t>
            </w:r>
            <w:r>
              <w:rPr>
                <w:rFonts w:ascii="Times New Roman;serif" w:hAnsi="Times New Roman;serif"/>
                <w:b w:val="false"/>
                <w:color w:val="000000"/>
                <w:sz w:val="14"/>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111,394 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98,962 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Aerospace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88,918 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60,612 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370,675 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330,315 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Intersegment sales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(12,093)</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(13,267)</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consolidated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$1,178,582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$1,030,222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ind w:left="0" w:right="0" w:hanging="225"/>
        <w:jc w:val="left"/>
        <w:rPr/>
      </w:pPr>
      <w:r>
        <w:rPr>
          <w:rFonts w:ascii="Times New Roman;serif" w:hAnsi="Times New Roman;serif"/>
          <w:b w:val="false"/>
          <w:color w:val="000000"/>
          <w:sz w:val="14"/>
        </w:rPr>
        <w:t>(1)    </w:t>
      </w:r>
      <w:r>
        <w:rPr>
          <w:rFonts w:ascii="Times New Roman;serif" w:hAnsi="Times New Roman;serif"/>
          <w:b w:val="false"/>
          <w:color w:val="000000"/>
          <w:sz w:val="22"/>
        </w:rPr>
        <w:t>Principally industrial products.</w:t>
      </w:r>
    </w:p>
    <w:p>
      <w:pPr>
        <w:pStyle w:val="TextBody"/>
        <w:bidi w:val="0"/>
        <w:spacing w:lineRule="auto" w:line="288" w:before="0" w:after="60"/>
        <w:ind w:left="0" w:right="0" w:hanging="225"/>
        <w:jc w:val="left"/>
        <w:rPr/>
      </w:pPr>
      <w:r>
        <w:rPr>
          <w:rFonts w:ascii="Times New Roman;serif" w:hAnsi="Times New Roman;serif"/>
          <w:b w:val="false"/>
          <w:color w:val="000000"/>
          <w:sz w:val="14"/>
        </w:rPr>
        <w:t>(2)    </w:t>
      </w:r>
      <w:r>
        <w:rPr>
          <w:rFonts w:ascii="Times New Roman;serif" w:hAnsi="Times New Roman;serif"/>
          <w:b w:val="false"/>
          <w:color w:val="000000"/>
          <w:sz w:val="22"/>
        </w:rPr>
        <w:t>Principally other electronics and medical products.</w:t>
      </w:r>
    </w:p>
    <w:p>
      <w:pPr>
        <w:pStyle w:val="TextBody"/>
        <w:bidi w:val="0"/>
        <w:spacing w:before="0" w:after="0"/>
        <w:ind w:left="0" w:right="0" w:hanging="225"/>
        <w:jc w:val="left"/>
        <w:rPr/>
      </w:pPr>
      <w:r>
        <w:rPr/>
      </w:r>
    </w:p>
    <w:p>
      <w:pPr>
        <w:pStyle w:val="TextBody"/>
        <w:bidi w:val="0"/>
        <w:spacing w:before="0" w:after="0"/>
        <w:ind w:left="0" w:right="0" w:hanging="22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7.     INCOME TAXES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Company's effective tax rate was 11.5% in the first quarter of fiscal 2026, as compared to 7.0% in the first quarter of fiscal 2025. The increase in the Company's effective tax rate principally reflects a smaller tax benefit from stock option exercises recognized in the first quarter of fiscal 2026. The Company recognized a discrete tax benefit from stock option exercises in both the first quarter of fiscal 2026 and 2025 of $22.3 million and $27.2 million, respectively.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6"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8.    FAIR VALUE MEASUREMENTS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Company's assets and liabilities that were measured at fair value on a recurring basis are set forth by level within the fair value hierarchy in the following tables (in thousands):</w:t>
      </w:r>
    </w:p>
    <w:tbl>
      <w:tblPr>
        <w:tblW w:w="10205" w:type="dxa"/>
        <w:jc w:val="left"/>
        <w:tblInd w:w="0" w:type="dxa"/>
        <w:tblLayout w:type="fixed"/>
        <w:tblCellMar>
          <w:top w:w="28" w:type="dxa"/>
          <w:left w:w="28" w:type="dxa"/>
          <w:bottom w:w="28" w:type="dxa"/>
          <w:right w:w="28" w:type="dxa"/>
        </w:tblCellMar>
      </w:tblPr>
      <w:tblGrid>
        <w:gridCol w:w="829"/>
        <w:gridCol w:w="597"/>
        <w:gridCol w:w="603"/>
        <w:gridCol w:w="109"/>
        <w:gridCol w:w="109"/>
        <w:gridCol w:w="109"/>
        <w:gridCol w:w="778"/>
        <w:gridCol w:w="634"/>
        <w:gridCol w:w="636"/>
        <w:gridCol w:w="109"/>
        <w:gridCol w:w="109"/>
        <w:gridCol w:w="109"/>
        <w:gridCol w:w="640"/>
        <w:gridCol w:w="521"/>
        <w:gridCol w:w="523"/>
        <w:gridCol w:w="109"/>
        <w:gridCol w:w="109"/>
        <w:gridCol w:w="109"/>
        <w:gridCol w:w="647"/>
        <w:gridCol w:w="647"/>
        <w:gridCol w:w="649"/>
        <w:gridCol w:w="109"/>
        <w:gridCol w:w="109"/>
        <w:gridCol w:w="109"/>
        <w:gridCol w:w="465"/>
        <w:gridCol w:w="466"/>
        <w:gridCol w:w="262"/>
      </w:tblGrid>
      <w:tr>
        <w:trPr/>
        <w:tc>
          <w:tcPr>
            <w:tcW w:w="82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January 31, 2026</w:t>
            </w:r>
          </w:p>
        </w:tc>
      </w:tr>
      <w:tr>
        <w:trPr/>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Quoted Prices </w:t>
              <w:br/>
              <w:t>in Active Markets for 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w:t>
              <w:br/>
              <w:t>Other 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Corporate-owned life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$374,368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6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$374,368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 </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$374,368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$389,148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Contingent consideration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6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52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$48,423 </w:t>
            </w:r>
          </w:p>
        </w:tc>
        <w:tc>
          <w:tcPr>
            <w:tcW w:w="64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$48,423 </w:t>
            </w:r>
          </w:p>
        </w:tc>
        <w:tc>
          <w:tcPr>
            <w:tcW w:w="26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16"/>
        <w:gridCol w:w="573"/>
        <w:gridCol w:w="579"/>
        <w:gridCol w:w="109"/>
        <w:gridCol w:w="109"/>
        <w:gridCol w:w="109"/>
        <w:gridCol w:w="851"/>
        <w:gridCol w:w="693"/>
        <w:gridCol w:w="696"/>
        <w:gridCol w:w="109"/>
        <w:gridCol w:w="109"/>
        <w:gridCol w:w="109"/>
        <w:gridCol w:w="631"/>
        <w:gridCol w:w="501"/>
        <w:gridCol w:w="503"/>
        <w:gridCol w:w="109"/>
        <w:gridCol w:w="109"/>
        <w:gridCol w:w="109"/>
        <w:gridCol w:w="620"/>
        <w:gridCol w:w="620"/>
        <w:gridCol w:w="622"/>
        <w:gridCol w:w="109"/>
        <w:gridCol w:w="109"/>
        <w:gridCol w:w="109"/>
        <w:gridCol w:w="465"/>
        <w:gridCol w:w="466"/>
        <w:gridCol w:w="261"/>
      </w:tblGrid>
      <w:tr>
        <w:trPr/>
        <w:tc>
          <w:tcPr>
            <w:tcW w:w="81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October 31, 2025</w:t>
            </w:r>
          </w:p>
        </w:tc>
      </w:tr>
      <w:tr>
        <w:trPr/>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Quoted Prices </w:t>
              <w:br/>
              <w:t>in Active Markets for Identical Assets (Level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w:t>
              <w:br/>
              <w:t>Other Observable Inputs</w:t>
              <w:b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w:t>
              <w:b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Corporate-owned life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$378,930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$378,930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11,940 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$11,940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$378,930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$390,870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Contingent consideration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6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50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$46,198 </w:t>
            </w:r>
          </w:p>
        </w:tc>
        <w:tc>
          <w:tcPr>
            <w:tcW w:w="62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$46,198 </w:t>
            </w:r>
          </w:p>
        </w:tc>
        <w:tc>
          <w:tcPr>
            <w:tcW w:w="26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 maintains the HEICO Corporation Leadership Compensation Plan (the "LCP"), which is a non-qualified deferred compensation plan. The assets of the LCP principally represent cash surrender values of life insurance policies, which derive their fair values from investments in mutual funds that are managed by an insurance company, and are classified within Level 2 and valued using a market approach. Certain other assets of the LCP represent an investment in a money market fund that is classified within Level 1. The assets of the LCP are held within an irrevocable trust and classified within other assets in the Company’s Condensed Consolidated Balance Sheets. The related liabilities of the LCP are included within other long-term liabilities and accrued expenses and other current liabilities in the Company’s Condensed Consolidated Balance Sheets and have an aggregate value of $380.0 million as of January 31, 2026 and $385.7 million as of October 31, 2025.</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7"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part of the agreement to acquire 90% of the membership interests of a subsidiary by the FSG in fiscal 2025, the Company may be obligated to pay contingent consideration of up to $21.1 million in fiscal 2028 based on the earnings of the acquired entity during the three-year period following the acquisition provided the entity meets a certain earnings objective over the same three-year period. As of January 31, 2026, the estimated fair value of the contingent consideration was $13.6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part of the agreement to acquire 96% of the stock of a subsidiary by the FSG in fiscal 2022, the Company may be obligated to pay contingent consideration of up to $27.4 million in fiscal 2027 based on the earnings of the acquired entity during fiscal years 2025 and 2026. As of January 31, 2026, the estimated fair value of the contingent consideration was $22.5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part of the agreement to acquire 74% of the membership interests of a subsidiary by the FSG in fiscal 2022, the Company may be obligated to pay contingent consideration of $14.1 million in fiscal 2027 should the acquired entity meet a certain earnings objective during the five-year period following the acquisition. As of January 31, 2026, the estimated fair value of the contingent consideration was $12.3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estimated fair values of the contingent consideration arrangements described above are classified within Level 3 and were determined using a probability-based scenario analysis approach. Under this method, a set of discrete potential future subsidiary earnings was determined using internal estimates based on various revenue growth rate assumptions for each scenario. A probability of likelihood was assigned to each discrete potential future earnings estimate and the resultant contingent consideration was calculated. The resulting probability-weighted contingent consideration amounts were discounted using a weighted average discount rate reflecting the credit risk of a market participant.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8"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following unobservable inputs were used to derive the estimated fair value of the Company's Level 3 contingent consideration liabilities as of January 31, 2026:</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460"/>
        <w:gridCol w:w="405"/>
        <w:gridCol w:w="407"/>
        <w:gridCol w:w="109"/>
        <w:gridCol w:w="109"/>
        <w:gridCol w:w="109"/>
        <w:gridCol w:w="484"/>
        <w:gridCol w:w="484"/>
        <w:gridCol w:w="483"/>
        <w:gridCol w:w="109"/>
        <w:gridCol w:w="109"/>
        <w:gridCol w:w="109"/>
        <w:gridCol w:w="1222"/>
        <w:gridCol w:w="1222"/>
        <w:gridCol w:w="1226"/>
        <w:gridCol w:w="109"/>
        <w:gridCol w:w="109"/>
        <w:gridCol w:w="109"/>
        <w:gridCol w:w="410"/>
        <w:gridCol w:w="410"/>
        <w:gridCol w:w="413"/>
        <w:gridCol w:w="109"/>
        <w:gridCol w:w="109"/>
        <w:gridCol w:w="109"/>
        <w:gridCol w:w="370"/>
        <w:gridCol w:w="370"/>
        <w:gridCol w:w="531"/>
      </w:tblGrid>
      <w:tr>
        <w:trPr/>
        <w:tc>
          <w:tcPr>
            <w:tcW w:w="46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Acquisition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Unobservable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Weighted </w:t>
            </w:r>
          </w:p>
        </w:tc>
      </w:tr>
      <w:tr>
        <w:trPr/>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Date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Input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Range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2"/>
              </w:rPr>
              <w:t xml:space="preserve">Average </w:t>
            </w:r>
            <w:r>
              <w:rPr>
                <w:rFonts w:ascii="Times New Roman;serif" w:hAnsi="Times New Roman;serif"/>
                <w:b/>
                <w:color w:val="000000"/>
                <w:sz w:val="14"/>
              </w:rPr>
              <w:t>(1)</w:t>
            </w:r>
            <w:r>
              <w:rPr>
                <w:color w:val="000000"/>
              </w:rPr>
              <w:t xml:space="preserve"> </w:t>
            </w:r>
          </w:p>
        </w:tc>
      </w:tr>
      <w:tr>
        <w:trPr/>
        <w:tc>
          <w:tcPr>
            <w:tcW w:w="12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$13,572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Compound annual revenue growth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 - 18%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w:t>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6.2% - 6.2%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6.2%</w:t>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7-18-2022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22,508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Compound annual revenue growth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 - 9%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w:t>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6.8% - 6.8%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6.8%</w:t>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3-17-2022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Compound annual revenue growth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 - 10%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w:t>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6.8% - 6.8%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6.8%</w:t>
            </w:r>
          </w:p>
        </w:tc>
      </w:tr>
      <w:tr>
        <w:trPr/>
        <w:tc>
          <w:tcPr>
            <w:tcW w:w="127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ind w:left="0" w:right="0" w:hanging="270"/>
        <w:jc w:val="left"/>
        <w:rPr/>
      </w:pPr>
      <w:r>
        <w:rPr>
          <w:rFonts w:ascii="Times New Roman;serif" w:hAnsi="Times New Roman;serif"/>
          <w:b w:val="false"/>
          <w:color w:val="000000"/>
          <w:sz w:val="14"/>
        </w:rPr>
        <w:t>(1)    </w:t>
      </w:r>
      <w:r>
        <w:rPr>
          <w:rFonts w:ascii="Times New Roman;serif" w:hAnsi="Times New Roman;serif"/>
          <w:b w:val="false"/>
          <w:color w:val="000000"/>
          <w:sz w:val="22"/>
        </w:rPr>
        <w:t>Unobservable inputs were weighted by the relative fair value of the contingent consideration liability.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Changes in the Company’s contingent consideration liabilities measured at fair value on a recurring basis using unobservable inputs (Level 3) for the three months ended January 31, 2026 are as follows (in thousands):</w:t>
      </w:r>
    </w:p>
    <w:tbl>
      <w:tblPr>
        <w:tblW w:w="8484" w:type="dxa"/>
        <w:jc w:val="left"/>
        <w:tblInd w:w="0" w:type="dxa"/>
        <w:tblLayout w:type="fixed"/>
        <w:tblCellMar>
          <w:top w:w="28" w:type="dxa"/>
          <w:left w:w="28" w:type="dxa"/>
          <w:bottom w:w="28" w:type="dxa"/>
          <w:right w:w="28" w:type="dxa"/>
        </w:tblCellMar>
      </w:tblPr>
      <w:tblGrid>
        <w:gridCol w:w="2440"/>
        <w:gridCol w:w="2147"/>
        <w:gridCol w:w="2163"/>
        <w:gridCol w:w="109"/>
        <w:gridCol w:w="109"/>
        <w:gridCol w:w="109"/>
        <w:gridCol w:w="473"/>
        <w:gridCol w:w="473"/>
        <w:gridCol w:w="461"/>
      </w:tblGrid>
      <w:tr>
        <w:trPr/>
        <w:tc>
          <w:tcPr>
            <w:tcW w:w="2440"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Liabilities</w:t>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Balance as of 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$46,198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Increase in accrued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2,225 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Balance as of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$48,423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Included in the accompanying Condensed Consolidated Balance Sheet</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2"/>
              </w:rPr>
              <w:t>under the following captions: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$22,508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25,915 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$48,423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 records changes in accrued contingent consideration within SG&amp;A expenses in its Condensed Consolidated Statements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carrying amounts of the Company’s cash and cash equivalents, accounts receivable, trade accounts payable and accrued expenses and other current liabilities approximate fair value as of January 31, 2026 due to the relatively short maturity of the respective instruments. The carrying amount of borrowings under the Company's credit facility approximates fair value due to its variable interest rate. See Note 5, Long-Term Debt, for the estimated fair value of the Company’s senior unsecured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9"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9.    NET INCOME PER SHARE ATTRIBUTABLE TO HEICO SHAREHOLDERS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computation of basic and diluted net income per share attributable to HEICO shareholders is as follows (in thousands, except per share data):</w:t>
      </w:r>
    </w:p>
    <w:tbl>
      <w:tblPr>
        <w:tblW w:w="10100" w:type="dxa"/>
        <w:jc w:val="center"/>
        <w:tblInd w:w="0" w:type="dxa"/>
        <w:tblLayout w:type="fixed"/>
        <w:tblCellMar>
          <w:top w:w="28" w:type="dxa"/>
          <w:left w:w="28" w:type="dxa"/>
          <w:bottom w:w="28" w:type="dxa"/>
          <w:right w:w="28" w:type="dxa"/>
        </w:tblCellMar>
      </w:tblPr>
      <w:tblGrid>
        <w:gridCol w:w="1999"/>
        <w:gridCol w:w="1756"/>
        <w:gridCol w:w="1764"/>
        <w:gridCol w:w="109"/>
        <w:gridCol w:w="109"/>
        <w:gridCol w:w="109"/>
        <w:gridCol w:w="800"/>
        <w:gridCol w:w="358"/>
        <w:gridCol w:w="358"/>
        <w:gridCol w:w="358"/>
        <w:gridCol w:w="358"/>
        <w:gridCol w:w="358"/>
        <w:gridCol w:w="800"/>
        <w:gridCol w:w="358"/>
        <w:gridCol w:w="506"/>
      </w:tblGrid>
      <w:tr>
        <w:trPr/>
        <w:tc>
          <w:tcPr>
            <w:tcW w:w="199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 January 31,</w:t>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Net income attributable to HEICO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$190,188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$167,955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Weighted average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139,368 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138,837 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Effect of dilutive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1,661 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1,647 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Weighted average common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141,029 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140,484 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Net income per share attributable to HEICO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$1.36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$1.21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$1.35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$1.20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Anti-dilutive stock options excluded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630 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10.    OPERATING SEGMENTS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financial results of the Company’s operating segments are reported on the same basis used internally by its Chief Operating Decision Maker (“CODM”). The Company’s Co-Chief Executive Officers serve together as the CODM. The primary measure used by the CODM and management to evaluate segment performance and to make decisions regarding resource allocation and business direction is segment operating income. The CODM uses segment operating income to allocate resources, including personnel and financial resources, among the Company’s operating segments, primarily in connection with the annual planning process, and to monitor segment performance relative to prior periods, budgeted expectations, and anticipated future results. The Company generally accounts for intersegment net sales as if the sales were to third parties at current market prices, and any such net sales and associated profit are eliminated in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20"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Information on the Company’s two operating segments, the FSG and the ETG, for the three months ended January 31, 2026 and 2025 is as follows (in thousands):</w:t>
      </w:r>
    </w:p>
    <w:tbl>
      <w:tblPr>
        <w:tblW w:w="10205" w:type="dxa"/>
        <w:jc w:val="center"/>
        <w:tblInd w:w="0" w:type="dxa"/>
        <w:tblLayout w:type="fixed"/>
        <w:tblCellMar>
          <w:top w:w="28" w:type="dxa"/>
          <w:left w:w="28" w:type="dxa"/>
          <w:bottom w:w="28" w:type="dxa"/>
          <w:right w:w="28" w:type="dxa"/>
        </w:tblCellMar>
      </w:tblPr>
      <w:tblGrid>
        <w:gridCol w:w="945"/>
        <w:gridCol w:w="626"/>
        <w:gridCol w:w="629"/>
        <w:gridCol w:w="109"/>
        <w:gridCol w:w="109"/>
        <w:gridCol w:w="109"/>
        <w:gridCol w:w="465"/>
        <w:gridCol w:w="466"/>
        <w:gridCol w:w="161"/>
        <w:gridCol w:w="109"/>
        <w:gridCol w:w="109"/>
        <w:gridCol w:w="109"/>
        <w:gridCol w:w="465"/>
        <w:gridCol w:w="466"/>
        <w:gridCol w:w="176"/>
        <w:gridCol w:w="109"/>
        <w:gridCol w:w="109"/>
        <w:gridCol w:w="109"/>
        <w:gridCol w:w="399"/>
        <w:gridCol w:w="367"/>
        <w:gridCol w:w="364"/>
        <w:gridCol w:w="109"/>
        <w:gridCol w:w="109"/>
        <w:gridCol w:w="109"/>
        <w:gridCol w:w="438"/>
        <w:gridCol w:w="438"/>
        <w:gridCol w:w="439"/>
        <w:gridCol w:w="109"/>
        <w:gridCol w:w="109"/>
        <w:gridCol w:w="109"/>
        <w:gridCol w:w="540"/>
        <w:gridCol w:w="541"/>
        <w:gridCol w:w="645"/>
      </w:tblGrid>
      <w:tr>
        <w:trPr/>
        <w:tc>
          <w:tcPr>
            <w:tcW w:w="94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2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Corporate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Intersegment </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Totals</w:t>
            </w:r>
          </w:p>
        </w:tc>
      </w:tr>
      <w:tr>
        <w:trPr/>
        <w:tc>
          <w:tcPr>
            <w:tcW w:w="2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to external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$819,305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$359,277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(12,093)</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820,000 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370,675 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(12,093)</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$1,178,582 </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224,674 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(11,172)</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72,755 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(13,159)</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259,899 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13,496 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w:t>
            </w:r>
            <w:r>
              <w:rPr>
                <w:color w:val="000000"/>
              </w:rPr>
              <w:t xml:space="preserve">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14,161 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36,847 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January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to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$712,788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$317,434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(13,267)</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713,174 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330,315 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(13,267)</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$1,030,222 </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(11,615)</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76,456 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(14,115)</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226,805 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17,335 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w:t>
            </w:r>
            <w:r>
              <w:rPr>
                <w:color w:val="000000"/>
              </w:rPr>
              <w:t xml:space="preserve">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13,048 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33,177 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ind w:left="0" w:right="0" w:hanging="180"/>
        <w:jc w:val="left"/>
        <w:rPr/>
      </w:pP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 xml:space="preserve">Corporate activity consists of unallocated corporate general and administrative expenses. </w:t>
      </w:r>
    </w:p>
    <w:p>
      <w:pPr>
        <w:pStyle w:val="TextBody"/>
        <w:bidi w:val="0"/>
        <w:spacing w:lineRule="auto" w:line="288" w:before="0" w:after="60"/>
        <w:ind w:left="0" w:right="0" w:hanging="180"/>
        <w:jc w:val="left"/>
        <w:rPr/>
      </w:pP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Intersegment activity principally consists of net sales from the ETG to the FSG.</w:t>
      </w:r>
    </w:p>
    <w:p>
      <w:pPr>
        <w:pStyle w:val="TextBody"/>
        <w:bidi w:val="0"/>
        <w:spacing w:lineRule="auto" w:line="288" w:before="0" w:after="60"/>
        <w:ind w:left="0" w:right="0" w:hanging="180"/>
        <w:jc w:val="left"/>
        <w:rPr/>
      </w:pPr>
      <w:r>
        <w:rPr>
          <w:rFonts w:ascii="Times New Roman;serif" w:hAnsi="Times New Roman;serif"/>
          <w:b w:val="false"/>
          <w:color w:val="000000"/>
          <w:sz w:val="14"/>
        </w:rPr>
        <w:t>(3)</w:t>
      </w:r>
      <w:r>
        <w:rPr>
          <w:color w:val="000000"/>
        </w:rPr>
        <w:t xml:space="preserve"> </w:t>
      </w:r>
      <w:r>
        <w:rPr>
          <w:rFonts w:ascii="Times New Roman;serif" w:hAnsi="Times New Roman;serif"/>
          <w:b w:val="false"/>
          <w:color w:val="000000"/>
          <w:sz w:val="22"/>
        </w:rPr>
        <w:t>Represents SG&amp;A expenses.</w:t>
      </w:r>
    </w:p>
    <w:p>
      <w:pPr>
        <w:pStyle w:val="TextBody"/>
        <w:bidi w:val="0"/>
        <w:spacing w:lineRule="auto" w:line="288" w:before="0" w:after="60"/>
        <w:ind w:left="0" w:right="0" w:hanging="180"/>
        <w:jc w:val="left"/>
        <w:rPr/>
      </w:pPr>
      <w:r>
        <w:rPr>
          <w:rFonts w:ascii="Times New Roman;serif" w:hAnsi="Times New Roman;serif"/>
          <w:b w:val="false"/>
          <w:color w:val="000000"/>
          <w:sz w:val="14"/>
        </w:rPr>
        <w:t>(4)</w:t>
      </w:r>
      <w:r>
        <w:rPr>
          <w:color w:val="000000"/>
        </w:rPr>
        <w:t xml:space="preserve"> </w:t>
      </w:r>
      <w:r>
        <w:rPr>
          <w:rFonts w:ascii="Times New Roman;serif" w:hAnsi="Times New Roman;serif"/>
          <w:b w:val="false"/>
          <w:color w:val="000000"/>
          <w:sz w:val="22"/>
        </w:rPr>
        <w:t>Depreciation and amortization expense disclosed by reportable segment are included within cost of sales and other segment items.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Total assets by operating segment are as follows (in thousands):</w:t>
      </w:r>
    </w:p>
    <w:tbl>
      <w:tblPr>
        <w:tblW w:w="10205" w:type="dxa"/>
        <w:jc w:val="left"/>
        <w:tblInd w:w="0" w:type="dxa"/>
        <w:tblLayout w:type="fixed"/>
        <w:tblCellMar>
          <w:top w:w="28" w:type="dxa"/>
          <w:left w:w="28" w:type="dxa"/>
          <w:bottom w:w="28" w:type="dxa"/>
          <w:right w:w="28" w:type="dxa"/>
        </w:tblCellMar>
      </w:tblPr>
      <w:tblGrid>
        <w:gridCol w:w="847"/>
        <w:gridCol w:w="738"/>
        <w:gridCol w:w="744"/>
        <w:gridCol w:w="109"/>
        <w:gridCol w:w="109"/>
        <w:gridCol w:w="109"/>
        <w:gridCol w:w="623"/>
        <w:gridCol w:w="623"/>
        <w:gridCol w:w="181"/>
        <w:gridCol w:w="109"/>
        <w:gridCol w:w="109"/>
        <w:gridCol w:w="109"/>
        <w:gridCol w:w="623"/>
        <w:gridCol w:w="623"/>
        <w:gridCol w:w="196"/>
        <w:gridCol w:w="109"/>
        <w:gridCol w:w="109"/>
        <w:gridCol w:w="109"/>
        <w:gridCol w:w="702"/>
        <w:gridCol w:w="571"/>
        <w:gridCol w:w="572"/>
        <w:gridCol w:w="109"/>
        <w:gridCol w:w="109"/>
        <w:gridCol w:w="109"/>
        <w:gridCol w:w="623"/>
        <w:gridCol w:w="623"/>
        <w:gridCol w:w="608"/>
      </w:tblGrid>
      <w:tr>
        <w:trPr/>
        <w:tc>
          <w:tcPr>
            <w:tcW w:w="84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Other, </w:t>
              <w:br/>
              <w:t>Primarily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Consolidated </w:t>
              <w:br/>
              <w:t>Totals</w:t>
            </w:r>
          </w:p>
        </w:tc>
      </w:tr>
      <w:tr>
        <w:trPr/>
        <w:tc>
          <w:tcPr>
            <w:tcW w:w="2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ETG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assets as of January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$4,614,901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$3,925,182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$503,613 </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$9,043,696 </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assets as of 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4,571,887 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3,437,221 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491,326 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8,500,434 </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21"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11.     COMMITMENTS AND CONTINGENCIES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Guarantees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of January 31, 2026, the Company had outstanding standby letters of credit and guarantees with financial institutions aggregating $14.1 million. These guarantees and standby letters of credit pertain to performance guarantees issued in connection with customer contracts entered into by certain of the Company's subsidiaries, and a payment guarantee related to potential workers' compensation claims.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Product Warranty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Changes in the Company’s product warranty liability for the three months ended January 31, 2026 and 2025 are as follows (in thousands):</w:t>
      </w:r>
    </w:p>
    <w:tbl>
      <w:tblPr>
        <w:tblW w:w="7968" w:type="dxa"/>
        <w:jc w:val="left"/>
        <w:tblInd w:w="0" w:type="dxa"/>
        <w:tblLayout w:type="fixed"/>
        <w:tblCellMar>
          <w:top w:w="28" w:type="dxa"/>
          <w:left w:w="28" w:type="dxa"/>
          <w:bottom w:w="28" w:type="dxa"/>
          <w:right w:w="28" w:type="dxa"/>
        </w:tblCellMar>
      </w:tblPr>
      <w:tblGrid>
        <w:gridCol w:w="1358"/>
        <w:gridCol w:w="1192"/>
        <w:gridCol w:w="1199"/>
        <w:gridCol w:w="109"/>
        <w:gridCol w:w="109"/>
        <w:gridCol w:w="109"/>
        <w:gridCol w:w="619"/>
        <w:gridCol w:w="358"/>
        <w:gridCol w:w="358"/>
        <w:gridCol w:w="358"/>
        <w:gridCol w:w="358"/>
        <w:gridCol w:w="358"/>
        <w:gridCol w:w="619"/>
        <w:gridCol w:w="358"/>
        <w:gridCol w:w="506"/>
      </w:tblGrid>
      <w:tr>
        <w:trPr/>
        <w:tc>
          <w:tcPr>
            <w:tcW w:w="135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 January 31,</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Balances as of beginning of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$5,768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$4,036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Acquired warranty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3,663 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Accruals for warranties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2,259 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592 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Warranty claims settled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(999)</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(697)</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Balances as of January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$10,691 </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$4,031 </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Litigation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 is involved in various legal actions arising in the normal course of business. Based upon the Company’s and its legal counsel’s evaluations of any claims or assessments, management is of the opinion that the outcome of these matters will not have a material adverse effect on the Company’s results of operations, financial position or cash flows.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22"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12.     SUBSEQUENT EVENTS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February 2026, the Company, through a subsidiary of HFSC, acquired 100% of the stock of EthosEnergy Accessories &amp; Components, LLC and EthosEnergy Accessories &amp; Components, Limited (collectively, “Ethos”). Ethos provides repair solutions for engine components and accessories for various aeroderivative, aerospace, and defense engine platforms. The purchase price of this acquisition was paid with a combination of cash using proceeds from the Company's revolving credit facility and through the issuance of 95,483 shares of HEICO Class A Common Stock and is not material or significant to the Company's condensed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February 2026, the Company, through HFSC, entered into an agreement to acquire 80% of the stock of a company that provides a range of services for commercial and defense component platforms. Closing is subject to governmental approval and standard closing conditions and is expected to occur in the second quarter of fiscal 2026. The remaining 20% interest will continue to be owned by certain members of the seller's management team. The purchase price of this acquisition is expected to be paid with a combination of cash using proceeds from the Company's revolving credit facility and shares of HEICO Class A Common Stock and is not material or significant to the Company's condensed consolidated financial statements.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23"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240"/>
        <w:ind w:left="0" w:right="0" w:hanging="810"/>
        <w:jc w:val="left"/>
        <w:rPr>
          <w:rFonts w:ascii="Times New Roman;serif" w:hAnsi="Times New Roman;serif"/>
          <w:b/>
          <w:color w:val="000000"/>
          <w:sz w:val="24"/>
        </w:rPr>
      </w:pPr>
      <w:r>
        <w:rPr>
          <w:rFonts w:ascii="Times New Roman;serif" w:hAnsi="Times New Roman;serif"/>
          <w:b/>
          <w:color w:val="000000"/>
          <w:sz w:val="24"/>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Overview</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discussion of our financial condition and results of operations should be read in conjunction with our condensed consolidated financial statements and notes thereto included herein. 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consolidated financial statements and the reported amounts of revenues and expenses during the reporting period. Actual results could differ materially from those estimates if different assumptions were used or different events ultimately transpire.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critical accounting policies, which require management to make judgments about matters that are inherently uncertain, are described in Item 7, “Management’s Discussion and Analysis of Financial Condition and Results of Operations,” under the heading “Critical Accounting Estimates” in our Annual Report on Form 10-K for the year ended October 31, 2025. There have been no material changes to our critical accounting policies during the three months ended January 31,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business is comprised of two operating segments: the Flight Support Group (“FSG”), consisting of HEICO Aerospace Holdings Corp. and HEICO Flight Support Corp. and their respective subsidiaries; and the Electronic Technologies Group (“ETG”), consisting of HEICO Electronic Technologies Corp. and its subsidiaries.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results of operations for the three months ended January 31, 2026 have been affected by the fiscal 2025 acquisitions as further detailed in Note 2, Acquisitions, of the Notes to Consolidated Financial Statements of our Annual Report on Form 10-K for the year ended October 31, 2025 and the fiscal 2026 acquisition as further detailed in Note 2, Acquisition, of the Notes to the Condensed Consolidated Financial Statements of this quarterly report.</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24"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Results of Operations</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following table sets forth the results of our operations, net sales and operating income by segment and the percentage of net sales represented by the respective items in our Condensed Consolidated Statements of Operations (in thousands):</w:t>
      </w:r>
    </w:p>
    <w:tbl>
      <w:tblPr>
        <w:tblW w:w="10045" w:type="dxa"/>
        <w:jc w:val="center"/>
        <w:tblInd w:w="0" w:type="dxa"/>
        <w:tblLayout w:type="fixed"/>
        <w:tblCellMar>
          <w:top w:w="28" w:type="dxa"/>
          <w:left w:w="28" w:type="dxa"/>
          <w:bottom w:w="28" w:type="dxa"/>
          <w:right w:w="28" w:type="dxa"/>
        </w:tblCellMar>
      </w:tblPr>
      <w:tblGrid>
        <w:gridCol w:w="1747"/>
        <w:gridCol w:w="1525"/>
        <w:gridCol w:w="1543"/>
        <w:gridCol w:w="109"/>
        <w:gridCol w:w="109"/>
        <w:gridCol w:w="109"/>
        <w:gridCol w:w="793"/>
        <w:gridCol w:w="453"/>
        <w:gridCol w:w="796"/>
        <w:gridCol w:w="240"/>
        <w:gridCol w:w="240"/>
        <w:gridCol w:w="240"/>
        <w:gridCol w:w="793"/>
        <w:gridCol w:w="453"/>
        <w:gridCol w:w="895"/>
      </w:tblGrid>
      <w:tr>
        <w:trPr/>
        <w:tc>
          <w:tcPr>
            <w:tcW w:w="1747"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 January 31,</w:t>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$1,178,582 </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$1,030,222 </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723,618 </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624,560 </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195,065 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178,857 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operating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918,683 </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803,417 </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$259,899 </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$226,805 </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sales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Flight Support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$820,000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$713,174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Electronic Technologies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370,675 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330,315 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Intersegment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(12,093)</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(13,267)</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$1,178,582 </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$1,030,222 </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income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Flight Support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$200,733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$166,116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Electronic Technologies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73,246 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76,456 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primarily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(14,080)</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(15,767)</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$259,899 </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$226,805 </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38.6</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39.4</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16.6</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17.4</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22.1</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22.0</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Other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Income tax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attributable to HEICO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16.1</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16.3</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2"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2"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2"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2"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2"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2"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5"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Comparison of First Quarter of Fiscal 2026 to First Quarter of Fiscal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Net Sales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consolidated net sales in the first quarter of fiscal 2026 increased by 14% to $1,178.6 million, up from net sales of $1,030.2 million in the first quarter of fiscal 2025. The increase in consolidated net sales principally reflects an increase of $106.8 million (a 15% increase) to $820.0 million in net sales of the FSG and an increase of $40.4 million (a 12% increase) to $370.7 million in net sales of the ETG. The net sales increase in the FSG reflects strong organic growth of 12% and net sales of $18.7 million contributed by fiscal 2025 acquisitions. The FSG's organic net sales growth reflects increased demand within its aftermarket replacement parts, repair and overhaul parts and services, and specialty products product lines resulting in net sales increases of $59.5 million, $20.6 million and $7.8 million, respectively. The net sales increase in the ETG reflects strong organic growth of 6% and net sales of $21.5 million contributed by fiscal 2025 and 2026 acquisitions. The ETG's organic net sales growth is mainly attributable to increased demand for its other electronics, aerospace and defense products resulting in net sales increases of $8.1 million, $8.1 million and $3.4 million, respectively, partially offset by a decrease in demand for its space products resulting in a net sales decrease of $3.4 million. Sales price changes were not a significant contributing factor to the change in net sales of the FSG and ETG in the first quarter of fiscal 2026.</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 xml:space="preserve">Gross Profit and Operating Expenses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Our consolidated gross profit margin was 38.6% in the first quarter of fiscal 2026, as compared to 39.4% in the first quarter of fiscal 2025, principally reflecting a decrease of 3.2% in the ETG's gross profit margin, partially offset by a .4% increase in the FSG's gross profit margin. The decrease in the ETG's gross profit margin principal</w:t>
      </w:r>
      <w:r>
        <w:rPr>
          <w:rFonts w:ascii="Times New Roman;serif" w:hAnsi="Times New Roman;serif"/>
          <w:b w:val="false"/>
          <w:color w:val="000000"/>
          <w:sz w:val="24"/>
          <w:shd w:fill="FFFFFF" w:val="clear"/>
        </w:rPr>
        <w:t xml:space="preserve">ly reflects a less favorable product mix of defense products and the previously mentioned decrease in net sales of space products, partially offset by the previously mentioned increase in net sales of aerospace products. </w:t>
      </w:r>
      <w:r>
        <w:rPr>
          <w:rFonts w:ascii="Times New Roman;serif" w:hAnsi="Times New Roman;serif"/>
          <w:b w:val="false"/>
          <w:color w:val="000000"/>
          <w:sz w:val="24"/>
        </w:rPr>
        <w:t>The increase in the FSG's gross profit margin principally reflects the previously mentioned higher net sales and a more favorable product mix within our repair and overhaul parts and services product line. Total new product research and development expenses included within our consolidated cost of sales were $31.9 million in the first quarter of fiscal 2026, up from $27.6 million in the first quarter of fiscal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consolidated selling, general and administrative ("SG&amp;A") expenses were $195.1 million in the first quarter of fiscal 2026, as compared to $178.9 million in the first quarter of fiscal 2025. The increase in consolidated SG&amp;A expenses principally reflects $7.5 million attributable to our fiscal 2025 and 2026 acquisitions and costs incurred to support the previously mentioned net sales growth resulting in increases of $5.3 million and $3.4 million in selling expenses and general and administrative expenses,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Our consolidated SG&amp;A expenses as a percentage of net sales improved to 16.6% in the first quarter of fiscal 2026, down from 17.4% in the first quarter of fiscal 2025. The decrease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6"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consolidated SG&amp;A expenses as a percentage of net sales principally reflects efficiencies realized from the previously mentioned net sales growth.</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Operating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consolidated operating income increased by 15% to $259.9 million in the first quarter of fiscal 2026, up from $226.8 million in the first quarter of fiscal 2025. The increase in consolidated operating income principally reflects a $34.6 million increase (a 21% increase) to $200.7 million in operating income of the FSG, partially offset by a $3.2 million decrease (a 4% decrease) to $73.2 million in operating income of the ETG. The increase in operating income of the FSG principally reflects the previously mentioned net sales growth, SG&amp;A expense efficiencies realized from the net sales growth, and the previously mentioned improved gross profit margin. The decrease in operating income of the ETG principally reflects the previously mentioned decreased gross profit margin, partially offset by the previously mentioned net sales growth.</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consolidated operating income as a percentage of net sales improved to 22.1% in the first quarter of fiscal 2026, up from 22.0% in the first quarter of fiscal 2025. The increase in consolidated operating income as a percentage of net sales principally reflects an increase in the FSG’s operating income as a percentage of net sales to 24.5% in the first quarter of fiscal 2026, up from 23.3% in the first quarter of fiscal 2025, partially offset by a decrease in the ETG's operating income as a percentage of net sales to 19.8% in the first quarter of fiscal 2026, down from 23.1% in the first quarter of fiscal 2025. The increase in the FSG's operating income as a percentage of net sales principally reflects a .8% impact from a decrease in SG&amp;A expenses as a percentage of net sales, mainly reflecting the previously mentioned SG&amp;A expense efficiencies and the previously mentioned improved gross profit margin. The decrease in the ETG's operating income as a percentage of net sales principally reflects the previously mentioned lower gross profit margin.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Interest 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Interest expense decreased to $29.5 million in the first quarter of fiscal 2026, down from $32.5 million in the first quarter of fiscal 2025. The decrease in interest expense was principally due to a lower weighted-average interest rate on borrowings outstanding under our revolving credit facility and a decrease in the amount of outstanding debt.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 xml:space="preserve">Other Income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Other income in the first quarter of fiscal 2026 and 2025 was not material.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 xml:space="preserve">Income Tax Expense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Our effective tax rate was 11.5% in the first quarter of fiscal 2026, as compared to 7.0% in the first quarter of fiscal 2025. The increase in our effective tax rate principally reflects a smaller tax benefit from stock option exercises recognized in the first quarter of fiscal 2026.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7"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recognized a discrete tax benefit from stock option exercises in both the first quarter of fiscal 2026 and 2025 of $22.3 million and $27.2 million, respectively.</w:t>
      </w:r>
    </w:p>
    <w:p>
      <w:pPr>
        <w:pStyle w:val="TextBody"/>
        <w:bidi w:val="0"/>
        <w:spacing w:lineRule="auto" w:line="288" w:before="0" w:after="200"/>
        <w:ind w:left="0" w:right="0" w:firstLine="720"/>
        <w:jc w:val="left"/>
        <w:rPr>
          <w:rFonts w:ascii="Times New Roman;serif" w:hAnsi="Times New Roman;serif"/>
          <w:b w:val="false"/>
          <w:i/>
          <w:color w:val="000000"/>
          <w:sz w:val="24"/>
        </w:rPr>
      </w:pPr>
      <w:r>
        <w:rPr>
          <w:rFonts w:ascii="Times New Roman;serif" w:hAnsi="Times New Roman;serif"/>
          <w:b w:val="false"/>
          <w:i/>
          <w:color w:val="000000"/>
          <w:sz w:val="24"/>
        </w:rPr>
        <w:t>Net Income Attributable to Noncontrolling Interests</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Net income attributable to noncontrolling interests relates to the 20% noncontrolling interest held by Lufthansa Technik AG in HEICO Aerospace Holdings Corp. and the noncontrolling interests held by others in certain subsidiaries of the FSG and ETG. Net income attributable to noncontrolling interests was $14.6 million in the first quarter of fiscal 2026, as compared to $13.6 million in the first quarter of fiscal 2025. The increase in net income attributable to noncontrolling interests principally reflects higher allocations of net income to noncontrolling interests as a result of certain fiscal 2025 acquisitions in which noncontrolling interests are held.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Net Income Attributable to HEICO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Net income attributable to HEICO increased by 13% to a record $190.2 million, or $1.35 per diluted share, in the first quarter of fiscal 2026, up from $168.0 million, or $1.20 per diluted share, in the first quarter of fiscal 2025 principally reflecting the previously mentioned higher consolidated operating income.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Outlook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we look ahead to the remainder of fiscal 2026, we expect continued sales momentum across both the FSG and ETG, supported by organic demand for our products, together with the impact of recent acquisitions. We remain focused on pursuing selective acquisition opportunities that align with our growth strategy. Our disciplined approach to financial management continues to emphasize long-term shareholder value through a combination of strategic acquisitions and organic growth, while preserving financial strength and flexibility.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Liquidity and Capital Resources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principal uses of cash include acquisitions, interest payments, capital expenditures, cash dividends, distributions to noncontrolling interests and working capital needs. We continue to anticipate fiscal 2026 capital expenditures to be approximately $80 to $90 million. We finance our activities primarily from our operating and financing activities, including borrowings under our revolving credit facility. The revolving credit facility and senior unsecured notes contain both financial and non-financial covenants. As of January 31, 2026, we were in compliance with all such covenants and our total debt to shareholders’ equity ratio was 54.7%.</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Based on our current outlook, we believe that net cash provided by operating activities and available borrowings under our revolving credit facility will be sufficient to fund our cash requirements for at least the next twelve months.</w:t>
      </w:r>
    </w:p>
    <w:p>
      <w:pPr>
        <w:pStyle w:val="TextBody"/>
        <w:bidi w:val="0"/>
        <w:spacing w:before="0" w:after="0"/>
        <w:ind w:left="0" w:right="0" w:firstLine="72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8"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Operating Activities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Net cash provided by operating activities was $178.6 million in the first quarter of fiscal 2026 and consisted primarily of net income from consolidated operations of $204.8 million, depreciation and amortization expense of $51.0 million (a non-cash item), $11.3 million in share-based compensation expense (a non-cash item), and net changes in other long-term liabilities and assets related to the HEICO Corporation Leadership Compensation Plan (the "LCP") of $10.1 million (principally participant deferrals and employer contributions), partially offset by a $120.3 million increase in net working capital. The increase in net working capital primarily reflects a $107.2 million decrease in accrued expenses and other current liabilities, mainly reflecting the payment of fiscal 2025 accrued performance-based compensation, distributions to participants of the LCP and the payment of payroll taxes arising from withholding requirements on stock option exercises, as well as a $17.1 million increase in inventories to support an increase in consolidated backlog.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Net cash provided by operating activities decreased by $24.4 million in the first quarter of fiscal 2026 from $203.0 million in the first quarter of fiscal 2025. The decrease is principally attributable to a $60.6 million increase in net working capital partially offset by a $23.2 million increase in net income from consolidated operations and a $14.5 million increase in the deferred income tax provision.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Investing Activities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Net cash used in investing activities totaled $447.0 million in the first quarter of fiscal 2026 and related primarily to an acquisition of $441.4 million, LCP funding of $14.0 million and capital expenditures of $13.5 million, partially offset by $22.7 million in proceeds from corporate-owned life insurance policy withdrawals within the LCP. Further details regarding our fiscal 2026 acquisition may be found in Note 2, Acquisition, of the Notes to Condensed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Financing Activities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Net cash provided by financing activities in the first quarter of fiscal 2026 totaled $309.6 million. During the first quarter of fiscal 2026, we borrowed $443.0 million under our revolving credit facility, which was partially offset by $103.0 million in payments made on our revolving credit facility, $16.7 million of cash dividends paid on our common stock, $7.2 million of distributions to noncontrolling interests, $4.5 million of redemptions of common stock related to stock option exercises and $4.1 million of payments to acquire certain noncontrolling interests.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Other Obligations and Commitments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There have not been any material changes to our other obligations and commitments that were included in our Annual Report on Form 10-K for the year ended October 31, 2025.</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9"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New Accounting Pronouncements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See Note 1, Summary of Significant Accounting Policies - New Accounting Pronouncements, of the Notes to Condensed Consolidated Financial Statements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Guarantor Group Summarized Financial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On July 27, 2023, we completed the public offer and sale of senior unsecured notes, which consisted of $600 million principal amount of 5.25% Senior Notes due August 1, 2028 (the "2028 Notes") and $600 million principal amount of 5.35% Senior Notes due August 1, 2033 (the "2033 Notes" and, collectively with the 2028 Notes, the "Notes"). The Notes are fully and unconditionally guaranteed on a senior unsecured basis by all of our existing and future subsidiaries that guarantee our obligations under our revolving credit facility ("Credit Facility") (the “Guarantor Group”). We were in compliance with all covenants related to the Notes as of January 31,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Notes were issued pursuant to an Indenture, dated as of July 27, 2023 (the “Base Indenture”), between HEICO and certain of its subsidiaries (collectively, the "Subsidiary Guarantors") and Truist Bank, as trustee (the “Trustee”), as supplemented by a First Supplemental Indenture, dated as of July 27, 2023 (the “First Supplemental Indenture” and, together with the Base Indenture, the “Indenture”), between us, the Subsidiary Guarantors and the Trustee. The Notes are direct, unsecured senior obligations of HEICO and rank equally in right of payment with all of our existing and future senior unsecured indebtedness. Each Subsidiary Guarantor is owned either directly or indirectly by the Company and jointly and severally guarantee our obligations under the Notes. None of the Subsidiary Guarantors are organized outside of the U.S. A list of Subsidiary Guarantors is incorporated by reference to Exhibit 22 to the Form 10-K for the year ended October 31, 2025.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Under the Indenture, holders of the Notes will be deemed to have consented to the release of a subsidiary guarantee provided by a subsidiary guarantor, without any action required on the part of the Trustee or any holder of the Notes, upon such subsidiary guarantor ceasing to guarantee or to be an obligor with respect to the Credit Facility. Accordingly, if the lenders under the Credit Facility release a subsidiary guarantor from its guarantee of, or obligations as a borrower under, the Credit Facility, the obligations of the subsidiary guarantors to guarantee the Notes will immediately terminate. If any of our future subsidiaries incur obligations under the Credit Facility while the Notes are outstanding, then such subsidiary will be required to guarantee the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addition, a subsidiary guarantor will be released and relieved from all its obligations under its subsidiary guarantee in the following circumstances, each of which is permitted by the indenture: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30"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upon the sale or other disposition (including by way of consolidation or merger), in one transaction or a series of related transactions, of a majority of the total voting stock of such subsidiary guarantor (other than to us or any of our affiliates);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upon the sale or disposition of all or substantially all the property of such subsidiary guarantor (other than to any of our affiliates or another subsidiary guarantor);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provided, however, that, in each case, such transaction is permitted by the Credit Facility and after giving effect to such transaction, such subsidiary guarantor is no longer liable for any subsidiary guarantee or other obligations in respect of the Credit Facility. The subsidiary guarantee of a subsidiary guarantor also will be released if we exercise our legal defeasance, covenant defeasance option or discharge the Indenture.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conduct our operations almost entirely through our subsidiaries. Accordingly, the Guarantor Group’s cash flow and ability to service any guaranteed registered debt securities will depend on the earnings of our subsidiaries and the distribution of those earnings to the Guarantor Group, including the earnings of the non-guarantor subsidiaries, whether by dividends, loans or otherwise. Holders of the guaranteed registered debt securities will have a direct claim only against the Guarantor Group.</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following tables include summarized financial information for the Guarantor Group (in thousands). The information for the Guarantor Group is presented on a combined basis, excluding intercompany balances and transactions between us and the Guarantor Group and excluding investments in and equity in the earnings of non-guarantor subsidiaries. The Guarantor Group’s amounts due from, amounts due to, and transactions with non-guarantor subsidiaries have been presented in separate line items. The consolidating schedules are provided in accordance with the reporting requirements of Rule 13-01 under SEC Regulation S-X for the issuer and guarantor subsidiaries.</w:t>
      </w:r>
    </w:p>
    <w:tbl>
      <w:tblPr>
        <w:tblW w:w="10205" w:type="dxa"/>
        <w:jc w:val="left"/>
        <w:tblInd w:w="0" w:type="dxa"/>
        <w:tblLayout w:type="fixed"/>
        <w:tblCellMar>
          <w:top w:w="28" w:type="dxa"/>
          <w:left w:w="28" w:type="dxa"/>
          <w:bottom w:w="28" w:type="dxa"/>
          <w:right w:w="28" w:type="dxa"/>
        </w:tblCellMar>
      </w:tblPr>
      <w:tblGrid>
        <w:gridCol w:w="2270"/>
        <w:gridCol w:w="1974"/>
        <w:gridCol w:w="1978"/>
        <w:gridCol w:w="623"/>
        <w:gridCol w:w="623"/>
        <w:gridCol w:w="520"/>
        <w:gridCol w:w="109"/>
        <w:gridCol w:w="109"/>
        <w:gridCol w:w="109"/>
        <w:gridCol w:w="623"/>
        <w:gridCol w:w="623"/>
        <w:gridCol w:w="644"/>
      </w:tblGrid>
      <w:tr>
        <w:trPr/>
        <w:tc>
          <w:tcPr>
            <w:tcW w:w="2270"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As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of</w:t>
            </w:r>
          </w:p>
        </w:tc>
      </w:tr>
      <w:tr>
        <w:trPr/>
        <w:tc>
          <w:tcPr>
            <w:tcW w:w="6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2"/>
              </w:rPr>
            </w:pPr>
            <w:r>
              <w:rPr>
                <w:rFonts w:ascii="Times New Roman;serif" w:hAnsi="Times New Roman;serif"/>
                <w:b/>
                <w:color w:val="000000"/>
                <w:sz w:val="22"/>
              </w:rPr>
              <w:t>October 31, 2025</w:t>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Current assets (excluding net intercompany receivable from non-guarantor subsidiaries)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$1,988,591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$1,927,805 </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Noncurrent assets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5,229,478 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5,280,470 </w:t>
            </w:r>
          </w:p>
        </w:tc>
        <w:tc>
          <w:tcPr>
            <w:tcW w:w="64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intercompany receivable from/ (payable to) non-guarantor subsidiaries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261,341 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260,672 </w:t>
            </w:r>
          </w:p>
        </w:tc>
        <w:tc>
          <w:tcPr>
            <w:tcW w:w="64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Current liabilities (excluding net intercompany payable to non-guarantor subsidiaries)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671,677 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721,365 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Noncurrent liabilities </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3,085,368 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2,751,782 </w:t>
            </w:r>
          </w:p>
        </w:tc>
        <w:tc>
          <w:tcPr>
            <w:tcW w:w="6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Redeemable noncontrolling interests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334,751 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337,818 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Noncontrolling interests </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68,161 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63,792 </w:t>
            </w:r>
          </w:p>
        </w:tc>
        <w:tc>
          <w:tcPr>
            <w:tcW w:w="6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31"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tbl>
      <w:tblPr>
        <w:tblW w:w="6337" w:type="dxa"/>
        <w:jc w:val="left"/>
        <w:tblInd w:w="0" w:type="dxa"/>
        <w:tblLayout w:type="fixed"/>
        <w:tblCellMar>
          <w:top w:w="28" w:type="dxa"/>
          <w:left w:w="28" w:type="dxa"/>
          <w:bottom w:w="28" w:type="dxa"/>
          <w:right w:w="28" w:type="dxa"/>
        </w:tblCellMar>
      </w:tblPr>
      <w:tblGrid>
        <w:gridCol w:w="1448"/>
        <w:gridCol w:w="1263"/>
        <w:gridCol w:w="1278"/>
        <w:gridCol w:w="694"/>
        <w:gridCol w:w="694"/>
        <w:gridCol w:w="697"/>
        <w:gridCol w:w="109"/>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January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Net sales </w:t>
            </w:r>
          </w:p>
        </w:tc>
        <w:tc>
          <w:tcPr>
            <w:tcW w:w="1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$996,964 </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Gross profit </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375,555 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Operating income </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222,134 </w:t>
            </w:r>
          </w:p>
        </w:tc>
        <w:tc>
          <w:tcPr>
            <w:tcW w:w="6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from consolidated operations</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187,636 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attributable to HEICO</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176,425 </w:t>
            </w:r>
          </w:p>
        </w:tc>
        <w:tc>
          <w:tcPr>
            <w:tcW w:w="6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438" w:type="dxa"/>
        <w:jc w:val="left"/>
        <w:tblInd w:w="0" w:type="dxa"/>
        <w:tblLayout w:type="fixed"/>
        <w:tblCellMar>
          <w:top w:w="28" w:type="dxa"/>
          <w:left w:w="28" w:type="dxa"/>
          <w:bottom w:w="28" w:type="dxa"/>
          <w:right w:w="28" w:type="dxa"/>
        </w:tblCellMar>
      </w:tblPr>
      <w:tblGrid>
        <w:gridCol w:w="1120"/>
        <w:gridCol w:w="984"/>
        <w:gridCol w:w="986"/>
        <w:gridCol w:w="694"/>
        <w:gridCol w:w="694"/>
        <w:gridCol w:w="697"/>
        <w:gridCol w:w="109"/>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January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Intercompany net sales</w:t>
            </w:r>
          </w:p>
        </w:tc>
        <w:tc>
          <w:tcPr>
            <w:tcW w:w="1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$3,780 </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Intercompany management fee </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984 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Intercompany interest income </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2,355 </w:t>
            </w:r>
          </w:p>
        </w:tc>
        <w:tc>
          <w:tcPr>
            <w:tcW w:w="6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Intercompany dividends</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11,112 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Certain statements in this report constitute “forward-looking statements” within the meaning of the Private Securities Litigation Reform Act of 1995. All statements contained herein that are not clearly historical in nature may be forward-looking and the words “anticipate,” “believe,” “expect,” “estimate” and similar expressions are generally intended to identify forward-looking statements. Any forward-looking statement contained herein, in press releases, written statements or other documents filed with the Securities and Exchange Commission or in communications and discussions with investors and analysts in the normal course of business through meetings, phone calls and conference calls, concerning our operations, economic performance and financial condition are subject to risks, uncertainties and contingencies. We have based these forward-looking statements on our current expectations and projections about future events. All forward-looking statements involve risks and uncertainties, many of which are beyond our control, which may cause actual results, performance or achievements to differ materially from anticipated results, performance or achievements. Also, forward-looking statements are based upon management’s estimates of fair values and of future costs, using currently available information. Therefore, actual results may differ materially from those expressed in or implied by those forward-looking statements. Factors that could cause such differences include, among others: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The severity, magnitude and duration of public health threats;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Our liquidity and the amount and timing of cash generation;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Lower commercial air travel, airline fleet changes or airline purchasing decisions, which could cause lower demand for our goods and services;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Product specification costs and requirements, which could cause an increase to our costs to complete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32"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Governmental and regulatory demands, export policies and restrictions, reductions in defense, space or homeland security spending by U.S. and/or foreign customers or competition from existing and new competitors, which could reduce our sales;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Our ability to introduce new products and services at profitable pricing levels, which could reduce our sales or sales growth;</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Product development or manufacturing difficulties, which could increase our product development and manufacturing costs and delay sales;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Cybersecurity events or other disruptions of our information technology systems could adversely affect our business;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Our ability to make acquisitions, including obtaining any applicable domestic and/or foreign governmental approvals, and achieve operating synergies from acquired businesses; customer credit risk; interest, foreign currency exchange and income tax rates; and economic conditions, including the effects of inflation, within and outside of the aviation, defense, space, medical, telecommunications and electronics industries, which could negatively impact our costs and revenues.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For further information on these and other factors that potentially could materially affect our financial results, see Item 1A,</w:t>
      </w:r>
      <w:r>
        <w:rPr>
          <w:color w:val="000000"/>
        </w:rPr>
        <w:t xml:space="preserve"> </w:t>
      </w:r>
      <w:r>
        <w:rPr>
          <w:rFonts w:ascii="Times New Roman;serif" w:hAnsi="Times New Roman;serif"/>
          <w:b w:val="false"/>
          <w:i/>
          <w:color w:val="000000"/>
          <w:sz w:val="24"/>
        </w:rPr>
        <w:t xml:space="preserve">Risk Factors, </w:t>
      </w:r>
      <w:r>
        <w:rPr>
          <w:rFonts w:ascii="Times New Roman;serif" w:hAnsi="Times New Roman;serif"/>
          <w:b w:val="false"/>
          <w:color w:val="000000"/>
          <w:sz w:val="24"/>
        </w:rPr>
        <w:t>of our Annual Report on Form 10-K for the year ended October 31, 2025. We undertake no obligation to publicly update or revise any forward-looking statement, whether as a result of new information, future events or otherwise, except to the extent required by applicable law.</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Item 3. QUANTITATIVE AND QUALITATIVE DISCLOSURES ABOUT MARKET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RISK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There have not been any material changes in our assessment of HEICO’s sensitivity to market risk that was disclosed in Item 7A, “Quantitative and Qualitative Disclosures About Market Risk,” in our Annual Report on Form 10-K for the year ended October 31, 2025.</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4. CONTROLS AND PROCEDURES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Evaluation of Disclosure Controls and Procedures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management, with the participation of our Co-Chief Executive Officers and our Chief Financial Officer, evaluated the effectiveness of our disclosure controls and procedures (as defined in Exchange Act Rules 13a-15(e) and 15d-15(e)) as of the end of the period covered by this quarterly report. Based upon that evaluation, our Co-Chief Executive Officers and our Chief Financial Officer concluded that HEICO’s disclosure controls and procedures are effective as of the end of the period covered by this quarterly report.</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33"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Changes in Internal Control Over Financial Reporting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There have been no changes in our internal control over financial reporting during the first quarter ended January 31, 2026 that have materially affected, or are reasonably likely to materially affect, HEICO's internal control over financial reporting.</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Item 5.    OTHER EVENTS. </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None of our directors or officers adopted, modified or terminated a “Rule 10b5-1 trading arrangement” or “non-Rule 10b5-1 trading arrangement,” as each term is defined in Item 408(a) of Regulation S-K, during the first quarter ended January 31,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6.    EXHIBITS</w:t>
      </w:r>
    </w:p>
    <w:tbl>
      <w:tblPr>
        <w:tblW w:w="10205" w:type="dxa"/>
        <w:jc w:val="center"/>
        <w:tblInd w:w="0" w:type="dxa"/>
        <w:tblLayout w:type="fixed"/>
        <w:tblCellMar>
          <w:top w:w="28" w:type="dxa"/>
          <w:left w:w="28" w:type="dxa"/>
          <w:bottom w:w="28" w:type="dxa"/>
          <w:right w:w="28" w:type="dxa"/>
        </w:tblCellMar>
      </w:tblPr>
      <w:tblGrid>
        <w:gridCol w:w="343"/>
        <w:gridCol w:w="302"/>
        <w:gridCol w:w="304"/>
        <w:gridCol w:w="109"/>
        <w:gridCol w:w="109"/>
        <w:gridCol w:w="109"/>
        <w:gridCol w:w="2612"/>
        <w:gridCol w:w="2612"/>
        <w:gridCol w:w="3705"/>
      </w:tblGrid>
      <w:tr>
        <w:trPr/>
        <w:tc>
          <w:tcPr>
            <w:tcW w:w="34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Description</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4"/>
                  <w:u w:val="single"/>
                </w:rPr>
                <w:t>Subsidiary Guarantors and Issuers of Guaranteed Securities</w:t>
              </w:r>
            </w:hyperlink>
            <w:hyperlink r:id="rId3">
              <w:r>
                <w:rPr>
                  <w:rStyle w:val="InternetLink"/>
                  <w:rFonts w:ascii="Times New Roman;serif" w:hAnsi="Times New Roman;serif"/>
                  <w:b w:val="false"/>
                  <w:color w:val="000080"/>
                  <w:sz w:val="24"/>
                  <w:u w:val="single"/>
                </w:rPr>
                <w:t>, is incorporated by reference to Exhibit</w:t>
              </w:r>
            </w:hyperlink>
            <w:hyperlink r:id="rId4">
              <w:r>
                <w:rPr>
                  <w:rStyle w:val="InternetLink"/>
                  <w:rFonts w:ascii="Times New Roman;serif" w:hAnsi="Times New Roman;serif"/>
                  <w:b w:val="false"/>
                  <w:color w:val="000080"/>
                  <w:sz w:val="24"/>
                  <w:u w:val="single"/>
                </w:rPr>
                <w:t xml:space="preserve"> </w:t>
              </w:r>
            </w:hyperlink>
            <w:hyperlink r:id="rId5">
              <w:r>
                <w:rPr>
                  <w:rStyle w:val="InternetLink"/>
                  <w:rFonts w:ascii="Times New Roman;serif" w:hAnsi="Times New Roman;serif"/>
                  <w:b w:val="false"/>
                  <w:color w:val="000080"/>
                  <w:sz w:val="24"/>
                  <w:u w:val="single"/>
                </w:rPr>
                <w:t>22</w:t>
              </w:r>
            </w:hyperlink>
            <w:hyperlink r:id="rId6">
              <w:r>
                <w:rPr>
                  <w:rStyle w:val="InternetLink"/>
                  <w:rFonts w:ascii="Times New Roman;serif" w:hAnsi="Times New Roman;serif"/>
                  <w:b w:val="false"/>
                  <w:color w:val="000080"/>
                  <w:sz w:val="24"/>
                  <w:u w:val="single"/>
                </w:rPr>
                <w:t xml:space="preserve"> to Form 10-K for the year ended October 31, 202</w:t>
              </w:r>
            </w:hyperlink>
            <w:hyperlink r:id="rId7">
              <w:r>
                <w:rPr>
                  <w:rStyle w:val="InternetLink"/>
                  <w:rFonts w:ascii="Times New Roman;serif" w:hAnsi="Times New Roman;serif"/>
                  <w:b w:val="false"/>
                  <w:color w:val="000080"/>
                  <w:sz w:val="24"/>
                  <w:u w:val="single"/>
                </w:rPr>
                <w:t>5</w:t>
              </w:r>
            </w:hyperlink>
            <w:hyperlink r:id="rId8">
              <w:r>
                <w:rPr>
                  <w:rStyle w:val="InternetLink"/>
                  <w:rFonts w:ascii="Times New Roman;serif" w:hAnsi="Times New Roman;serif"/>
                  <w:b w:val="false"/>
                  <w:color w:val="000080"/>
                  <w:sz w:val="24"/>
                  <w:u w:val="single"/>
                </w:rPr>
                <w:t>.</w:t>
              </w:r>
            </w:hyperlink>
            <w:r>
              <w:rPr>
                <w:color w:val="000000"/>
              </w:rPr>
              <w:t xml:space="preserve"> </w:t>
            </w:r>
            <w:r>
              <w:rPr>
                <w:rFonts w:ascii="Times New Roman;serif" w:hAnsi="Times New Roman;serif"/>
                <w:b w:val="false"/>
                <w:color w:val="000000"/>
                <w:sz w:val="24"/>
              </w:rPr>
              <w:t>***</w:t>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1312026exhibit311.htm">
              <w:r>
                <w:rPr>
                  <w:rStyle w:val="InternetLink"/>
                  <w:rFonts w:ascii="Times New Roman;serif" w:hAnsi="Times New Roman;serif"/>
                  <w:b w:val="false"/>
                  <w:color w:val="000080"/>
                  <w:sz w:val="24"/>
                  <w:u w:val="single"/>
                </w:rPr>
                <w:t xml:space="preserve">Rule 13a-14(a)/15d-14(a) Certification of </w:t>
              </w:r>
            </w:hyperlink>
            <w:hyperlink w:anchor="a01312026exhibit311.htm">
              <w:r>
                <w:rPr>
                  <w:rStyle w:val="InternetLink"/>
                  <w:rFonts w:ascii="Times New Roman;serif" w:hAnsi="Times New Roman;serif"/>
                  <w:b w:val="false"/>
                  <w:color w:val="000080"/>
                  <w:sz w:val="24"/>
                  <w:u w:val="single"/>
                </w:rPr>
                <w:t>Co-</w:t>
              </w:r>
            </w:hyperlink>
            <w:hyperlink w:anchor="a01312026exhibit311.htm">
              <w:r>
                <w:rPr>
                  <w:rStyle w:val="InternetLink"/>
                  <w:rFonts w:ascii="Times New Roman;serif" w:hAnsi="Times New Roman;serif"/>
                  <w:b w:val="false"/>
                  <w:color w:val="000080"/>
                  <w:sz w:val="24"/>
                  <w:u w:val="single"/>
                </w:rPr>
                <w:t>Chief Executive Officer.</w:t>
              </w:r>
            </w:hyperlink>
            <w:r>
              <w:rPr>
                <w:color w:val="000000"/>
              </w:rPr>
              <w:t xml:space="preserve"> </w:t>
            </w:r>
            <w:r>
              <w:rPr>
                <w:rFonts w:ascii="Times New Roman;serif" w:hAnsi="Times New Roman;serif"/>
                <w:b w:val="false"/>
                <w:color w:val="000000"/>
                <w:sz w:val="24"/>
              </w:rPr>
              <w:t>*</w:t>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1312026exhibit312.htm">
              <w:r>
                <w:rPr>
                  <w:rStyle w:val="InternetLink"/>
                  <w:rFonts w:ascii="Times New Roman;serif" w:hAnsi="Times New Roman;serif"/>
                  <w:b w:val="false"/>
                  <w:color w:val="0000FF"/>
                  <w:sz w:val="24"/>
                  <w:u w:val="single"/>
                </w:rPr>
                <w:t>Rule 13a-14(a)/15d-14(a) Certification of Co-Chief Executive Officer.</w:t>
              </w:r>
            </w:hyperlink>
            <w:r>
              <w:rPr>
                <w:color w:val="000000"/>
              </w:rPr>
              <w:t xml:space="preserve"> </w:t>
            </w:r>
            <w:r>
              <w:rPr>
                <w:rFonts w:ascii="Times New Roman;serif" w:hAnsi="Times New Roman;serif"/>
                <w:b w:val="false"/>
                <w:color w:val="000000"/>
                <w:sz w:val="24"/>
              </w:rPr>
              <w:t>*</w:t>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1312026exhibit313.htm">
              <w:r>
                <w:rPr>
                  <w:rStyle w:val="InternetLink"/>
                  <w:rFonts w:ascii="Times New Roman;serif" w:hAnsi="Times New Roman;serif"/>
                  <w:b w:val="false"/>
                  <w:color w:val="0000FF"/>
                  <w:sz w:val="24"/>
                  <w:u w:val="single"/>
                </w:rPr>
                <w:t>Rule 13a-14(a)/15d-14(a) Certification of Chief Financial Officer.</w:t>
              </w:r>
            </w:hyperlink>
            <w:r>
              <w:rPr>
                <w:color w:val="000000"/>
              </w:rPr>
              <w:t xml:space="preserve"> </w:t>
            </w:r>
            <w:r>
              <w:rPr>
                <w:rFonts w:ascii="Times New Roman;serif" w:hAnsi="Times New Roman;serif"/>
                <w:b w:val="false"/>
                <w:color w:val="000000"/>
                <w:sz w:val="24"/>
              </w:rPr>
              <w:t>*</w:t>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1312026exhibit321.htm">
              <w:r>
                <w:rPr>
                  <w:rStyle w:val="InternetLink"/>
                  <w:rFonts w:ascii="Times New Roman;serif" w:hAnsi="Times New Roman;serif"/>
                  <w:b w:val="false"/>
                  <w:color w:val="000080"/>
                  <w:sz w:val="24"/>
                  <w:u w:val="single"/>
                </w:rPr>
                <w:t xml:space="preserve">Section 1350 Certification of </w:t>
              </w:r>
            </w:hyperlink>
            <w:hyperlink w:anchor="a01312026exhibit321.htm">
              <w:r>
                <w:rPr>
                  <w:rStyle w:val="InternetLink"/>
                  <w:rFonts w:ascii="Times New Roman;serif" w:hAnsi="Times New Roman;serif"/>
                  <w:b w:val="false"/>
                  <w:color w:val="000080"/>
                  <w:sz w:val="24"/>
                  <w:u w:val="single"/>
                </w:rPr>
                <w:t>Co-</w:t>
              </w:r>
            </w:hyperlink>
            <w:hyperlink w:anchor="a01312026exhibit321.htm">
              <w:r>
                <w:rPr>
                  <w:rStyle w:val="InternetLink"/>
                  <w:rFonts w:ascii="Times New Roman;serif" w:hAnsi="Times New Roman;serif"/>
                  <w:b w:val="false"/>
                  <w:color w:val="000080"/>
                  <w:sz w:val="24"/>
                  <w:u w:val="single"/>
                </w:rPr>
                <w:t>Chief Executive Officer.</w:t>
              </w:r>
            </w:hyperlink>
            <w:r>
              <w:rPr>
                <w:color w:val="000000"/>
              </w:rPr>
              <w:t xml:space="preserve"> </w:t>
            </w:r>
            <w:r>
              <w:rPr>
                <w:rFonts w:ascii="Times New Roman;serif" w:hAnsi="Times New Roman;serif"/>
                <w:b w:val="false"/>
                <w:color w:val="000000"/>
                <w:sz w:val="24"/>
              </w:rPr>
              <w:t>**</w:t>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1312026exhibit322.htm">
              <w:r>
                <w:rPr>
                  <w:rStyle w:val="InternetLink"/>
                  <w:rFonts w:ascii="Times New Roman;serif" w:hAnsi="Times New Roman;serif"/>
                  <w:b w:val="false"/>
                  <w:color w:val="0000FF"/>
                  <w:sz w:val="24"/>
                  <w:u w:val="single"/>
                </w:rPr>
                <w:t>Section 1350 Certification of Co-Chief Executive Officer.</w:t>
              </w:r>
            </w:hyperlink>
            <w:r>
              <w:rPr>
                <w:color w:val="000000"/>
              </w:rPr>
              <w:t xml:space="preserve"> </w:t>
            </w:r>
            <w:r>
              <w:rPr>
                <w:rFonts w:ascii="Times New Roman;serif" w:hAnsi="Times New Roman;serif"/>
                <w:b w:val="false"/>
                <w:color w:val="000000"/>
                <w:sz w:val="24"/>
              </w:rPr>
              <w:t>**</w:t>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1312026exhibit323.htm">
              <w:r>
                <w:rPr>
                  <w:rStyle w:val="InternetLink"/>
                  <w:rFonts w:ascii="Times New Roman;serif" w:hAnsi="Times New Roman;serif"/>
                  <w:b w:val="false"/>
                  <w:color w:val="0000FF"/>
                  <w:sz w:val="24"/>
                  <w:u w:val="single"/>
                </w:rPr>
                <w:t>Section 1350 Certification of Chief Financial Officer.</w:t>
              </w:r>
            </w:hyperlink>
            <w:r>
              <w:rPr>
                <w:color w:val="000000"/>
              </w:rPr>
              <w:t xml:space="preserve"> </w:t>
            </w:r>
            <w:r>
              <w:rPr>
                <w:rFonts w:ascii="Times New Roman;serif" w:hAnsi="Times New Roman;serif"/>
                <w:b w:val="false"/>
                <w:color w:val="000000"/>
                <w:sz w:val="24"/>
              </w:rPr>
              <w:t>**</w:t>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Inline XBRL Instance Document - The instance document does not appear in the Interactive Data File because its XBRL tags are embedded within the Inline XBRL Document. *</w:t>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Inline XBRL Taxonomy Extension Schema Document. *</w:t>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Inline XBRL Taxonomy Extension Calculation Linkbase Document. *</w:t>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Inline XBRL Taxonomy Extension Definition Linkbase Document. *</w:t>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Inline XBRL Taxonomy Extension Labels Linkbase Document. *</w:t>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Inline XBRL Taxonomy Extension Presentation Linkbase Document. *</w:t>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(formatted as inline XBRL and contained in Exhibit 101). *</w:t>
            </w:r>
          </w:p>
        </w:tc>
      </w:tr>
      <w:tr>
        <w:trPr/>
        <w:tc>
          <w:tcPr>
            <w:tcW w:w="1276"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Filed herewith.</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Furnished herewith.</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Previously 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4"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3a4b5de90fa4515b5f1d9e463069c41_10">
        <w:r>
          <w:rPr>
            <w:rStyle w:val="InternetLink"/>
            <w:rFonts w:ascii="Times New Roman;serif" w:hAnsi="Times New Roman;serif"/>
            <w:b w:val="false"/>
            <w:color w:val="0000FF"/>
            <w:sz w:val="20"/>
            <w:u w:val="single"/>
          </w:rPr>
          <w:t>Index</w:t>
        </w:r>
      </w:hyperlink>
    </w:p>
    <w:p>
      <w:pPr>
        <w:pStyle w:val="TextBody"/>
        <w:bidi w:val="0"/>
        <w:spacing w:lineRule="auto" w:line="288" w:before="0" w:after="240"/>
        <w:ind w:left="0" w:right="0" w:hanging="1395"/>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tbl>
      <w:tblPr>
        <w:tblW w:w="10042" w:type="dxa"/>
        <w:jc w:val="center"/>
        <w:tblInd w:w="0" w:type="dxa"/>
        <w:tblLayout w:type="fixed"/>
        <w:tblCellMar>
          <w:top w:w="28" w:type="dxa"/>
          <w:left w:w="28" w:type="dxa"/>
          <w:bottom w:w="28" w:type="dxa"/>
          <w:right w:w="28" w:type="dxa"/>
        </w:tblCellMar>
      </w:tblPr>
      <w:tblGrid>
        <w:gridCol w:w="228"/>
        <w:gridCol w:w="200"/>
        <w:gridCol w:w="202"/>
        <w:gridCol w:w="619"/>
        <w:gridCol w:w="619"/>
        <w:gridCol w:w="621"/>
        <w:gridCol w:w="423"/>
        <w:gridCol w:w="423"/>
        <w:gridCol w:w="423"/>
        <w:gridCol w:w="1839"/>
        <w:gridCol w:w="1839"/>
        <w:gridCol w:w="2606"/>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HEICO CORPORATION</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Date:</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February 27, 2026</w:t>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CARLOS L. MACAU, JR.</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Carlos L. Macau, Jr.</w:t>
              <w:br/>
              <w:t>Executive Vice President - Chief Financial Officer and Treasurer</w:t>
              <w:br/>
              <w:t>(Principal Financial Officer)</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BRADLEY K. ROWEN</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Bradley K. Rowen</w:t>
              <w:br/>
              <w:t xml:space="preserve">Chief Accounting Officer </w:t>
              <w:br/>
              <w:t>and Assistant Treasurer</w:t>
              <w:br/>
              <w:t>(Principal Accounting Officer)</w:t>
            </w:r>
          </w:p>
        </w:tc>
      </w:tr>
    </w:tbl>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5"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 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Eric A. Mendelson,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HEICO 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270"/>
        <w:jc w:val="left"/>
        <w:rPr/>
      </w:pPr>
      <w:r>
        <w:rPr/>
      </w:r>
    </w:p>
    <w:tbl>
      <w:tblPr>
        <w:tblW w:w="4619"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724"/>
        <w:gridCol w:w="724"/>
        <w:gridCol w:w="102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ERIC A. MENDELSON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A. Mendelson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 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Victor H. Mendelson,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HEICO 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270"/>
        <w:jc w:val="left"/>
        <w:rPr/>
      </w:pPr>
      <w:r>
        <w:rPr/>
      </w:r>
    </w:p>
    <w:tbl>
      <w:tblPr>
        <w:tblW w:w="4919"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812"/>
        <w:gridCol w:w="812"/>
        <w:gridCol w:w="115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VICTOR H. MENDELSON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Victor H. Mendelson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31.3</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 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Carlos L. Macau, Jr.,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HEICO 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270"/>
        <w:jc w:val="left"/>
        <w:rPr/>
      </w:pPr>
      <w:r>
        <w:rPr/>
      </w:r>
    </w:p>
    <w:tbl>
      <w:tblPr>
        <w:tblW w:w="4619"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724"/>
        <w:gridCol w:w="724"/>
        <w:gridCol w:w="102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CARLOS L. MACAU,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Carlos L. Macau,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SECTION 1350 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connection with the Quarterly Report of HEICO Corporation (the “Company”) on Form 10-Q for the period ended January 31, 2026 as filed with the Securities and Exchange Commission on the date hereof (the “Report”), I, Eric A. Mendelson,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728" w:type="dxa"/>
        <w:jc w:val="left"/>
        <w:tblInd w:w="0" w:type="dxa"/>
        <w:tblLayout w:type="fixed"/>
        <w:tblCellMar>
          <w:top w:w="28" w:type="dxa"/>
          <w:left w:w="28" w:type="dxa"/>
          <w:bottom w:w="28" w:type="dxa"/>
          <w:right w:w="28" w:type="dxa"/>
        </w:tblCellMar>
      </w:tblPr>
      <w:tblGrid>
        <w:gridCol w:w="228"/>
        <w:gridCol w:w="200"/>
        <w:gridCol w:w="202"/>
        <w:gridCol w:w="619"/>
        <w:gridCol w:w="619"/>
        <w:gridCol w:w="621"/>
        <w:gridCol w:w="949"/>
        <w:gridCol w:w="949"/>
        <w:gridCol w:w="1341"/>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February 27, 2026</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ERIC A. MENDELSON</w:t>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Eric A. Mendelson</w:t>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Co-Chief Executive Officer</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SECTION 1350 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connection with the Quarterly Report of HEICO Corporation (the “Company”) on Form 10-Q for the period ended January 31, 2026 as filed with the Securities and Exchange Commission on the date hereof (the “Report”), I, Victor H. Mendelson,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729" w:type="dxa"/>
        <w:jc w:val="left"/>
        <w:tblInd w:w="0" w:type="dxa"/>
        <w:tblLayout w:type="fixed"/>
        <w:tblCellMar>
          <w:top w:w="28" w:type="dxa"/>
          <w:left w:w="28" w:type="dxa"/>
          <w:bottom w:w="28" w:type="dxa"/>
          <w:right w:w="28" w:type="dxa"/>
        </w:tblCellMar>
      </w:tblPr>
      <w:tblGrid>
        <w:gridCol w:w="228"/>
        <w:gridCol w:w="200"/>
        <w:gridCol w:w="202"/>
        <w:gridCol w:w="619"/>
        <w:gridCol w:w="619"/>
        <w:gridCol w:w="621"/>
        <w:gridCol w:w="949"/>
        <w:gridCol w:w="949"/>
        <w:gridCol w:w="1342"/>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February 27, 2026</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VICTOR H. MENDELSON</w:t>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Victor H. Mendelson</w:t>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Co-Chief Executive Officer</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(Co-Principal Executive Officer)</w:t>
            </w:r>
          </w:p>
        </w:tc>
      </w:tr>
    </w:tbl>
    <w:p>
      <w:pPr>
        <w:pStyle w:val="TextBody"/>
        <w:bidi w:val="0"/>
        <w:spacing w:before="0" w:after="0"/>
        <w:jc w:val="lef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32.3</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SECTION 1350 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connection with the Quarterly Report of HEICO Corporation (the “Company”) on Form 10-Q for the period ended January 31, 2026 as filed with the Securities and Exchange Commission on the date hereof (the “Report”), I, Carlos L. Macau, Jr.,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563" w:type="dxa"/>
        <w:jc w:val="left"/>
        <w:tblInd w:w="0" w:type="dxa"/>
        <w:tblLayout w:type="fixed"/>
        <w:tblCellMar>
          <w:top w:w="28" w:type="dxa"/>
          <w:left w:w="28" w:type="dxa"/>
          <w:bottom w:w="28" w:type="dxa"/>
          <w:right w:w="28" w:type="dxa"/>
        </w:tblCellMar>
      </w:tblPr>
      <w:tblGrid>
        <w:gridCol w:w="228"/>
        <w:gridCol w:w="200"/>
        <w:gridCol w:w="202"/>
        <w:gridCol w:w="619"/>
        <w:gridCol w:w="619"/>
        <w:gridCol w:w="621"/>
        <w:gridCol w:w="898"/>
        <w:gridCol w:w="898"/>
        <w:gridCol w:w="1278"/>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February 27, 2026</w:t>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CARLOS L. MACAU, JR.</w:t>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Carlos L. Macau, Jr.</w:t>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(Principal Financial Officer)</w:t>
            </w:r>
          </w:p>
        </w:tc>
      </w:tr>
    </w:tbl>
    <w:p>
      <w:pPr>
        <w:pStyle w:val="TextBody"/>
        <w:bidi w:val="0"/>
        <w:spacing w:before="0" w:after="0"/>
        <w:jc w:val="left"/>
        <w:rPr/>
      </w:pPr>
      <w:r>
        <w:rPr/>
      </w:r>
    </w:p>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46619/000004661925000082/a103125heiq4exhibit22.htm" TargetMode="External"/><Relationship Id="rId3" Type="http://schemas.openxmlformats.org/officeDocument/2006/relationships/hyperlink" Target="https://www.sec.gov/Archives/edgar/data/46619/000004661925000082/a103125heiq4exhibit22.htm" TargetMode="External"/><Relationship Id="rId4" Type="http://schemas.openxmlformats.org/officeDocument/2006/relationships/hyperlink" Target="https://www.sec.gov/Archives/edgar/data/46619/000004661925000082/a103125heiq4exhibit22.htm" TargetMode="External"/><Relationship Id="rId5" Type="http://schemas.openxmlformats.org/officeDocument/2006/relationships/hyperlink" Target="https://www.sec.gov/Archives/edgar/data/46619/000004661925000082/a103125heiq4exhibit22.htm" TargetMode="External"/><Relationship Id="rId6" Type="http://schemas.openxmlformats.org/officeDocument/2006/relationships/hyperlink" Target="https://www.sec.gov/Archives/edgar/data/46619/000004661925000082/a103125heiq4exhibit22.htm" TargetMode="External"/><Relationship Id="rId7" Type="http://schemas.openxmlformats.org/officeDocument/2006/relationships/hyperlink" Target="https://www.sec.gov/Archives/edgar/data/46619/000004661925000082/a103125heiq4exhibit22.htm" TargetMode="External"/><Relationship Id="rId8" Type="http://schemas.openxmlformats.org/officeDocument/2006/relationships/hyperlink" Target="https://www.sec.gov/Archives/edgar/data/46619/000004661925000082/a103125heiq4exhibit22.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12376</Words>
  <Characters>72639</Characters>
  <CharactersWithSpaces>84307</CharactersWithSpaces>
  <Paragraphs>1823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