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79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56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Rowen Bradley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TAFT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HEICO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HEI, HEI.A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569"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33"/>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HOLLYWOOD  FL</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33021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8"/>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jc w:val="center"/>
              <w:ind w:left="60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05/29/2026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rPr>
              <w:t>600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07"/>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97</w:t>
            </w:r>
          </w:p>
        </w:tc>
        <w:tc>
          <w:tcPr>
            <w:tcW w:w="16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05/29/2026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rPr>
              <w:t>316</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259.81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284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05/29/2026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w w:val="99"/>
              </w:rPr>
              <w:t>1,280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121.39</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1,564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05/29/2026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rPr>
              <w:t>764</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259.81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05/29/2026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w w:val="99"/>
              </w:rPr>
              <w:t>1,400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130.71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2,200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05/29/2026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rPr>
              <w:t>874</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259.81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1,326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984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401(k)</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1,056</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0" w:type="dxa"/>
            <w:vAlign w:val="bottom"/>
            <w:gridSpan w:val="11"/>
          </w:tcPr>
          <w:p>
            <w:pPr>
              <w:jc w:val="center"/>
              <w:ind w:left="3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97</w:t>
            </w:r>
          </w:p>
        </w:tc>
        <w:tc>
          <w:tcPr>
            <w:tcW w:w="9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05/29/2026</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80" w:type="dxa"/>
            <w:vAlign w:val="bottom"/>
            <w:vMerge w:val="restart"/>
          </w:tcPr>
          <w:p>
            <w:pPr>
              <w:jc w:val="center"/>
              <w:ind w:left="201"/>
              <w:spacing w:after="0" w:line="142" w:lineRule="exact"/>
              <w:rPr>
                <w:sz w:val="20"/>
                <w:szCs w:val="20"/>
                <w:color w:val="auto"/>
              </w:rPr>
            </w:pPr>
            <w:r>
              <w:rPr>
                <w:rFonts w:ascii="Times New Roman" w:cs="Times New Roman" w:eastAsia="Times New Roman" w:hAnsi="Times New Roman"/>
                <w:sz w:val="13"/>
                <w:szCs w:val="13"/>
                <w:color w:val="0000FF"/>
              </w:rPr>
              <w:t>600</w:t>
            </w:r>
          </w:p>
        </w:tc>
        <w:tc>
          <w:tcPr>
            <w:tcW w:w="860" w:type="dxa"/>
            <w:vAlign w:val="bottom"/>
            <w:gridSpan w:val="2"/>
            <w:vMerge w:val="continue"/>
          </w:tcPr>
          <w:p>
            <w:pPr>
              <w:spacing w:after="0"/>
              <w:rPr>
                <w:sz w:val="6"/>
                <w:szCs w:val="6"/>
                <w:color w:val="auto"/>
              </w:rPr>
            </w:pPr>
          </w:p>
        </w:tc>
        <w:tc>
          <w:tcPr>
            <w:tcW w:w="68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12/13/2029</w:t>
            </w:r>
          </w:p>
        </w:tc>
        <w:tc>
          <w:tcPr>
            <w:tcW w:w="6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1,280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121.39</w:t>
            </w:r>
          </w:p>
        </w:tc>
        <w:tc>
          <w:tcPr>
            <w:tcW w:w="9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05/29/2026</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80" w:type="dxa"/>
            <w:vAlign w:val="bottom"/>
            <w:vMerge w:val="restart"/>
          </w:tcPr>
          <w:p>
            <w:pPr>
              <w:jc w:val="center"/>
              <w:ind w:left="201"/>
              <w:spacing w:after="0" w:line="142" w:lineRule="exact"/>
              <w:rPr>
                <w:sz w:val="20"/>
                <w:szCs w:val="20"/>
                <w:color w:val="auto"/>
              </w:rPr>
            </w:pPr>
            <w:r>
              <w:rPr>
                <w:rFonts w:ascii="Times New Roman" w:cs="Times New Roman" w:eastAsia="Times New Roman" w:hAnsi="Times New Roman"/>
                <w:sz w:val="13"/>
                <w:szCs w:val="13"/>
                <w:color w:val="0000FF"/>
                <w:w w:val="95"/>
              </w:rPr>
              <w:t>1,280</w:t>
            </w:r>
          </w:p>
        </w:tc>
        <w:tc>
          <w:tcPr>
            <w:tcW w:w="860" w:type="dxa"/>
            <w:vAlign w:val="bottom"/>
            <w:gridSpan w:val="2"/>
            <w:vMerge w:val="continue"/>
          </w:tcPr>
          <w:p>
            <w:pPr>
              <w:spacing w:after="0"/>
              <w:rPr>
                <w:sz w:val="6"/>
                <w:szCs w:val="6"/>
                <w:color w:val="auto"/>
              </w:rPr>
            </w:pPr>
          </w:p>
        </w:tc>
        <w:tc>
          <w:tcPr>
            <w:tcW w:w="68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12/17/2031</w:t>
            </w:r>
          </w:p>
        </w:tc>
        <w:tc>
          <w:tcPr>
            <w:tcW w:w="6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2"/>
              </w:rPr>
              <w:t>640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130.71</w:t>
            </w:r>
          </w:p>
        </w:tc>
        <w:tc>
          <w:tcPr>
            <w:tcW w:w="9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05/29/2026</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80" w:type="dxa"/>
            <w:vAlign w:val="bottom"/>
            <w:vMerge w:val="restart"/>
          </w:tcPr>
          <w:p>
            <w:pPr>
              <w:jc w:val="center"/>
              <w:ind w:left="201"/>
              <w:spacing w:after="0" w:line="142" w:lineRule="exact"/>
              <w:rPr>
                <w:sz w:val="20"/>
                <w:szCs w:val="20"/>
                <w:color w:val="auto"/>
              </w:rPr>
            </w:pPr>
            <w:r>
              <w:rPr>
                <w:rFonts w:ascii="Times New Roman" w:cs="Times New Roman" w:eastAsia="Times New Roman" w:hAnsi="Times New Roman"/>
                <w:sz w:val="13"/>
                <w:szCs w:val="13"/>
                <w:color w:val="0000FF"/>
                <w:w w:val="95"/>
              </w:rPr>
              <w:t>1,400</w:t>
            </w:r>
          </w:p>
        </w:tc>
        <w:tc>
          <w:tcPr>
            <w:tcW w:w="860" w:type="dxa"/>
            <w:vAlign w:val="bottom"/>
            <w:gridSpan w:val="2"/>
            <w:vMerge w:val="continue"/>
          </w:tcPr>
          <w:p>
            <w:pPr>
              <w:spacing w:after="0"/>
              <w:rPr>
                <w:sz w:val="6"/>
                <w:szCs w:val="6"/>
                <w:color w:val="auto"/>
              </w:rPr>
            </w:pPr>
          </w:p>
        </w:tc>
        <w:tc>
          <w:tcPr>
            <w:tcW w:w="68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06/09/2033</w:t>
            </w:r>
          </w:p>
        </w:tc>
        <w:tc>
          <w:tcPr>
            <w:tcW w:w="6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2,100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ectPr>
          <w:pgSz w:w="11900" w:h="16838" w:orient="portrait"/>
          <w:cols w:equalWidth="0" w:num="1">
            <w:col w:w="11080"/>
          </w:cols>
          <w:pgMar w:left="460" w:top="217" w:right="359" w:bottom="56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365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36537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restart"/>
          </w:tcPr>
          <w:p>
            <w:pPr>
              <w:ind w:left="80"/>
              <w:spacing w:after="0" w:line="207" w:lineRule="exact"/>
              <w:rPr>
                <w:sz w:val="20"/>
                <w:szCs w:val="20"/>
                <w:color w:val="auto"/>
              </w:rPr>
            </w:pPr>
            <w:r>
              <w:rPr>
                <w:rFonts w:ascii="Times New Roman" w:cs="Times New Roman" w:eastAsia="Times New Roman" w:hAnsi="Times New Roman"/>
                <w:sz w:val="13"/>
                <w:szCs w:val="13"/>
                <w:color w:val="0000FF"/>
              </w:rPr>
              <w:t>05/27/2026</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680" w:type="dxa"/>
            <w:vAlign w:val="bottom"/>
            <w:vMerge w:val="continue"/>
          </w:tcPr>
          <w:p>
            <w:pPr>
              <w:spacing w:after="0"/>
              <w:rPr>
                <w:sz w:val="12"/>
                <w:szCs w:val="12"/>
                <w:color w:val="auto"/>
              </w:rPr>
            </w:pP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203.05</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03/14/2035</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3,000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Class A</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Stock)</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benefit of the Reporting Person by the HEICO Corporation 401(k) based on a plan statement dated June 1, 2026.</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exercisable at 20% per year over five years from the date of grant.</w:t>
      </w:r>
    </w:p>
    <w:p>
      <w:pPr>
        <w:spacing w:after="0" w:line="44" w:lineRule="exact"/>
        <w:rPr>
          <w:rFonts w:ascii="Times New Roman" w:cs="Times New Roman" w:eastAsia="Times New Roman" w:hAnsi="Times New Roman"/>
          <w:sz w:val="13"/>
          <w:szCs w:val="13"/>
          <w:color w:val="008000"/>
        </w:rPr>
      </w:pPr>
    </w:p>
    <w:p>
      <w:pPr>
        <w:ind w:left="20" w:right="260" w:firstLine="2"/>
        <w:spacing w:after="0" w:line="256"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first tranche (20%) of performance-based stock options originally granted on March 14, 2025, which became exercisable upon certification by the Compensation Committee on May 27, 2026 that the applicable performance conditions for the first measurement interval were achieved.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Bradley K. Rowen</w:t>
            </w:r>
          </w:p>
        </w:tc>
        <w:tc>
          <w:tcPr>
            <w:tcW w:w="7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06/02/2026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6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7115" TargetMode="External"/><Relationship Id="rId14" Type="http://schemas.openxmlformats.org/officeDocument/2006/relationships/hyperlink" Target="http://www.sec.gov/cgi-bin/browse-edgar?action=getcompany&amp;CIK=0000046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2026-06-02T12:02:31Z</dcterms:created>
  <dcterms:modified xsi:type="dcterms:W3CDTF">2026-06-02T12:02:31Z</dcterms:modified>
</cp:coreProperties>
</file>