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133-8k_heico.htm"/>
      <w:bookmarkStart w:id="1" w:name="ksea02981338k_heico"/>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7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Florida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713"/>
            <w:bookmarkEnd w:id="6"/>
            <w:r>
              <w:rPr>
                <w:rFonts w:ascii="Times New Roman;Times;Serif" w:hAnsi="Times New Roman;Times;Serif"/>
                <w:b/>
                <w:sz w:val="20"/>
              </w:rPr>
              <w:t>001-04604</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65-0341002</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3000 Taft Street, </w:t>
      </w:r>
      <w:bookmarkStart w:id="9" w:name="xdx_90A_edei--EntityAddressCityOrTown_c2"/>
      <w:bookmarkEnd w:id="9"/>
      <w:r>
        <w:rPr>
          <w:rFonts w:ascii="Times New Roman;Times;Serif" w:hAnsi="Times New Roman;Times;Serif"/>
          <w:b/>
          <w:i w:val="false"/>
          <w:caps w:val="false"/>
          <w:smallCaps w:val="false"/>
          <w:sz w:val="20"/>
        </w:rPr>
        <w:t xml:space="preserve">Hollywood, </w:t>
      </w:r>
      <w:bookmarkStart w:id="10" w:name="xdx_905_edei--EntityAddressStateOrProvin"/>
      <w:bookmarkEnd w:id="10"/>
      <w:r>
        <w:rPr>
          <w:rFonts w:ascii="Times New Roman;Times;Serif" w:hAnsi="Times New Roman;Times;Serif"/>
          <w:b/>
          <w:i w:val="false"/>
          <w:caps w:val="false"/>
          <w:smallCaps w:val="false"/>
          <w:sz w:val="20"/>
        </w:rPr>
        <w:t xml:space="preserve">Florida </w:t>
      </w:r>
      <w:bookmarkStart w:id="11" w:name="xdx_900_edei--EntityAddressPostalZipCode"/>
      <w:bookmarkEnd w:id="11"/>
      <w:r>
        <w:rPr>
          <w:rFonts w:ascii="Times New Roman;Times;Serif" w:hAnsi="Times New Roman;Times;Serif"/>
          <w:b/>
          <w:i w:val="false"/>
          <w:caps w:val="false"/>
          <w:smallCaps w:val="false"/>
          <w:sz w:val="20"/>
        </w:rPr>
        <w:t>33021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A_edei--CityAreaCode_c20260713__20"/>
      <w:bookmarkEnd w:id="12"/>
      <w:r>
        <w:rPr>
          <w:rFonts w:ascii="Times New Roman;Times;Serif" w:hAnsi="Times New Roman;Times;Serif"/>
          <w:b/>
          <w:i w:val="false"/>
          <w:caps w:val="false"/>
          <w:smallCaps w:val="false"/>
          <w:sz w:val="20"/>
        </w:rPr>
        <w:t xml:space="preserve">954) </w:t>
      </w:r>
      <w:bookmarkStart w:id="13" w:name="xdx_903_edei--LocalPhoneNumber_c20260713"/>
      <w:bookmarkEnd w:id="13"/>
      <w:r>
        <w:rPr>
          <w:rFonts w:ascii="Times New Roman;Times;Serif" w:hAnsi="Times New Roman;Times;Serif"/>
          <w:b/>
          <w:i w:val="false"/>
          <w:caps w:val="false"/>
          <w:smallCaps w:val="false"/>
          <w:sz w:val="20"/>
        </w:rPr>
        <w:t>987-4000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E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28" w:type="dxa"/>
          <w:right w:w="0" w:type="dxa"/>
        </w:tblCellMar>
      </w:tblPr>
      <w:tblGrid>
        <w:gridCol w:w="4145"/>
        <w:gridCol w:w="60"/>
        <w:gridCol w:w="1535"/>
        <w:gridCol w:w="60"/>
        <w:gridCol w:w="3590"/>
      </w:tblGrid>
      <w:tr>
        <w:trPr/>
        <w:tc>
          <w:tcPr>
            <w:tcW w:w="414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41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0_edei--Security12bTitle_c20260713"/>
            <w:bookmarkEnd w:id="18"/>
            <w:r>
              <w:rPr>
                <w:rFonts w:ascii="Times New Roman;Times;Serif" w:hAnsi="Times New Roman;Times;Serif"/>
                <w:b/>
                <w:sz w:val="20"/>
              </w:rPr>
              <w:t>Common Stock, $.01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4_edei--TradingSymbol_c20260713__2"/>
            <w:bookmarkEnd w:id="19"/>
            <w:r>
              <w:rPr>
                <w:rFonts w:ascii="Times New Roman;Times;Serif" w:hAnsi="Times New Roman;Times;Serif"/>
                <w:b/>
                <w:sz w:val="20"/>
              </w:rPr>
              <w:t>HEI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9_edei--SecurityExchangeName_c2026"/>
            <w:bookmarkEnd w:id="20"/>
            <w:r>
              <w:rPr>
                <w:rFonts w:ascii="Times New Roman;Times;Serif" w:hAnsi="Times New Roman;Times;Serif"/>
                <w:b/>
                <w:sz w:val="20"/>
              </w:rPr>
              <w:t>New York Stock Exchange</w:t>
            </w:r>
          </w:p>
        </w:tc>
      </w:tr>
      <w:tr>
        <w:trPr/>
        <w:tc>
          <w:tcPr>
            <w:tcW w:w="41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4_edei--Security12bTitle_c20260713"/>
            <w:bookmarkEnd w:id="21"/>
            <w:r>
              <w:rPr>
                <w:rFonts w:ascii="Times New Roman;Times;Serif" w:hAnsi="Times New Roman;Times;Serif"/>
                <w:b/>
                <w:sz w:val="20"/>
              </w:rPr>
              <w:t>Class A Common Stock, $.01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C_edei--TradingSymbol_c20260713__2"/>
            <w:bookmarkEnd w:id="22"/>
            <w:r>
              <w:rPr>
                <w:rFonts w:ascii="Times New Roman;Times;Serif" w:hAnsi="Times New Roman;Times;Serif"/>
                <w:b/>
                <w:sz w:val="20"/>
              </w:rPr>
              <w:t>HEI.A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3" w:name="xdx_909_edei--SecurityExchangeName_c2026"/>
            <w:bookmarkEnd w:id="23"/>
            <w:r>
              <w:rPr>
                <w:rFonts w:ascii="Times New Roman;Times;Serif" w:hAnsi="Times New Roman;Times;Serif"/>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Material Definitive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HEICO Corporation (“HEICO” or the “Company”) executed an Underwriting Agreement (the “Underwriting Agreement”) with BofA Securities, Inc., PNC Capital Markets LLC, Truist Securities, Inc. and Wells Fargo Securities, LLC, as the representatives of the several underwriters listed in Schedule 1 therein, with regard to the issuance and sale by the Company of $550,000,000 principal amount of the Company’s 4.950% Senior Notes due 2031 (the “2031 Notes”) and $650,000,000 principal amount of the Company’s 5.400% Senior Notes due 2036 (the “2036 Notes” and collectively with the 2031 Notes, the “Notes”). The Underwriting Agreement contains customary representations, warranties and covenants of the Company, conditions to closing, indemnification rights and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completed the public offer and sale of the Notes (the “Notes Offering”). The Company intends to use the net proceeds from the sale of the Notes to pay down borrowings outstanding on its Existing Credit Facility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pursuant to the Company’s shelf registration statement on Form S-3ASR, which became automatically effective on July 13, 2026 (File No. 333-297410). The Notes were issued pursuant to an Indenture, dated as of July 16, 2026 (the “Base Indenture”), between the Company and Truist Bank, as trustee (the “Trustee”), as supplemented by a First Supplemental Indenture, dated as of July 16, 2026 (the “First Supplemental Indenture” and, together with the Base Indenture, the “Indenture”), between the Company and the Trustee. Interest on the Notes is payable semi-annually in arrears on February 1 and August 1 of each year, commencing February 1, 2027. The 2031 Notes mature on August 1, 2031 and the 2036 Notes mature on August 1, 2036. The Notes are direct, unsecured senior obligations of the Company and rank equally in right of payment with all of the Company’s existing and future senior unsecured indebtedness. HEICO may redeem the Notes at any time in whole, or from time to time in part, prior to the applicable par call date at the applicable redemption price described in the Indenture. On or after the applicable par call date the Notes will be redeemable, at HEICO’s option, at any time in whole, or from time to time in part, at a redemption price equal to 100% of the principal amount of the Notes to be redeemed plus accrued and unpaid interest on the Notes to be redeemed to, but excluding, the date of redemption. The Company may be required to make an offer to purchase the Notes upon the occurrence of a “change of control triggering event” as described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certain customary covenants that, among other things, limit the Company’s and its subsidiaries’ ability to grant liens to secure indebtedness or engage in sale and leaseback transactions and the Company’s ability to merge or consolidate with, or convey, transfer or lease all or substantially all of its assets to, a third party, as further described in the Indenture. Each of these limitations is subject to certain important qualifications and exceptions. The Indenture also includes certain customary events of default. The occurrence of an event of default will either automatically, in certain instances, or upon declaration by the Trustee or the holders of at least 25% in aggregate principal amount of the Notes at the time outstanding, in other instances, cause the acceleration of the amounts due under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“Existing Credit Facility” in this Form 8-K refer to the revolving credit agreement, dated as of November 6, 2017, by and among the Company and the several banks and other financial institutions from time to time who are a party thereto, and Truist Bank, as Administrative Agent, as amended and as may be further amended, restated, supplemented, refinanced, refunded or replaced from time to time, including any such refinancing, refunding or replacement that increases the amount of borrowings thereunder or alters the maturity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the Notes and the Indenture does not purport to be complete and is qualified in its entirety by reference to the Underwriting Agreement, the Base Indenture, the First Supplemental Indenture and the form of each Note, copies of which are filed as Exhibits 1.1, 4.1, 4.2, 4.3, and 4.4, respectively, hereto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Direct Financial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with respect to the Notes and the Indenture is incorporated by reference into this Item 2.03 insofar as it relates to the creation of a direct financial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HEICO issued a press release announcing the completion of the Notes Offering. A copy of the press release is furnished as Exhibit 99.1 to this Current Report on Form 8-K and is incorporated in this Item 7.01 by reference.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information included in this Item 7.01 and Exhibit 99.1 included with this Current Report on Form 8-K shall not be deemed “filed” for the purposes of or otherwise subject to the liabilities under Section 18 of the Securities Exchange Act of 1934, as amended (the “Exchange Act”). Unless expressly incorporated into a filing of the Company under the Securities Act of 1933, as amended, or the Exchange Act made after the date hereof, the information contained in this Item 7.01 and Exhibit 99.1 hereto shall not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delivered by Akerman LLP, counsel to the Company, regarding the legality of the Notes, is filed as Exhibit 5.1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3"/>
        <w:gridCol w:w="60"/>
        <w:gridCol w:w="9432"/>
      </w:tblGrid>
      <w:tr>
        <w:trPr/>
        <w:tc>
          <w:tcPr>
            <w:tcW w:w="71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3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both"/>
              <w:rPr/>
            </w:pPr>
            <w:hyperlink w:anchor="ea029813301ex1-1.htm">
              <w:r>
                <w:rPr>
                  <w:rStyle w:val="InternetLink"/>
                  <w:rFonts w:ascii="Times New Roman;Times;Serif" w:hAnsi="Times New Roman;Times;Serif"/>
                  <w:sz w:val="20"/>
                </w:rPr>
                <w:t>Underwriting Agreement, dated July 13, 2026, by and among HEICO Corporation and BofA Securities, Inc., PNC Capital Markets LLC, Truist Securities, Inc. and Wells Fargo Securities, LLC, as representatives of the several underwriters named in Schedule 1 thereto.</w:t>
              </w:r>
            </w:hyperlink>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w:anchor="ea029813301ex4-1.htm">
              <w:r>
                <w:rPr>
                  <w:rStyle w:val="InternetLink"/>
                  <w:rFonts w:ascii="Times New Roman;Times;Serif" w:hAnsi="Times New Roman;Times;Serif"/>
                  <w:sz w:val="20"/>
                </w:rPr>
                <w:t>Indenture, dated July 16, 2026, between HEICO Corporation and Truist Bank, as trustee.</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w:anchor="ea029813301ex4-2.htm">
              <w:r>
                <w:rPr>
                  <w:rStyle w:val="InternetLink"/>
                  <w:rFonts w:ascii="Times New Roman;Times;Serif" w:hAnsi="Times New Roman;Times;Serif"/>
                  <w:sz w:val="20"/>
                </w:rPr>
                <w:t>First Supplemental Indenture, dated July 16, 2026, between HEICO Corporation and Truist Bank, as trustee.</w:t>
              </w:r>
            </w:hyperlink>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w:anchor="ea029813301ex4-2.htm">
              <w:r>
                <w:rPr>
                  <w:rStyle w:val="InternetLink"/>
                  <w:rFonts w:ascii="Times New Roman;Times;Serif" w:hAnsi="Times New Roman;Times;Serif"/>
                  <w:sz w:val="20"/>
                </w:rPr>
                <w:t>Form of 4.950% Notes due 2031 (form included as Exhibit A to the First Supplemental Indenture being filed herewith as Exhibit 4.2).</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w:anchor="ea029813301ex4-2.htm">
              <w:r>
                <w:rPr>
                  <w:rStyle w:val="InternetLink"/>
                  <w:rFonts w:ascii="Times New Roman;Times;Serif" w:hAnsi="Times New Roman;Times;Serif"/>
                  <w:sz w:val="20"/>
                </w:rPr>
                <w:t>Form of 5.400% Notes due 2036 (form included as Exhibit B to the First Supplemental Indenture being filed herewith as Exhibit 4.2).</w:t>
              </w:r>
            </w:hyperlink>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w:anchor="ea029813301ex5-1.htm">
              <w:r>
                <w:rPr>
                  <w:rStyle w:val="InternetLink"/>
                  <w:rFonts w:ascii="Times New Roman;Times;Serif" w:hAnsi="Times New Roman;Times;Serif"/>
                  <w:sz w:val="20"/>
                </w:rPr>
                <w:t>Opinion of Akerman LLP.</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pPr>
            <w:hyperlink w:anchor="ea029813301ex5-1.htm">
              <w:r>
                <w:rPr>
                  <w:rStyle w:val="InternetLink"/>
                  <w:rFonts w:ascii="Times New Roman;Times;Serif" w:hAnsi="Times New Roman;Times;Serif"/>
                  <w:sz w:val="20"/>
                </w:rPr>
                <w:t>Consent of Akerman LLP (contained in Exhibit 5.1 filed herewith).</w:t>
              </w:r>
            </w:hyperlink>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pPr>
            <w:hyperlink w:anchor="ea029813301ex99-1.htm">
              <w:r>
                <w:rPr>
                  <w:rStyle w:val="InternetLink"/>
                  <w:rFonts w:ascii="Times New Roman;Times;Serif" w:hAnsi="Times New Roman;Times;Serif"/>
                  <w:sz w:val="20"/>
                </w:rPr>
                <w:t>Press Release, dated July 16, 2026.</w:t>
              </w:r>
            </w:hyperlink>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7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5040" w:right="0" w:hanging="0"/>
        <w:jc w:val="both"/>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30"/>
        <w:gridCol w:w="320"/>
        <w:gridCol w:w="3035"/>
      </w:tblGrid>
      <w:tr>
        <w:trPr/>
        <w:tc>
          <w:tcPr>
            <w:tcW w:w="1730" w:type="dxa"/>
            <w:tcBorders/>
            <w:vAlign w:val="center"/>
          </w:tcPr>
          <w:p>
            <w:pPr>
              <w:pStyle w:val="TableContents"/>
              <w:bidi w:val="0"/>
              <w:spacing w:before="0" w:after="283"/>
              <w:jc w:val="both"/>
              <w:rPr/>
            </w:pPr>
            <w:r>
              <w:rPr/>
              <w:t> </w:t>
            </w:r>
          </w:p>
        </w:tc>
        <w:tc>
          <w:tcPr>
            <w:tcW w:w="335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HEICO CORPORATION</w:t>
            </w:r>
          </w:p>
        </w:tc>
      </w:tr>
      <w:tr>
        <w:trPr/>
        <w:tc>
          <w:tcPr>
            <w:tcW w:w="173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35" w:type="dxa"/>
            <w:tcBorders/>
            <w:vAlign w:val="center"/>
          </w:tcPr>
          <w:p>
            <w:pPr>
              <w:pStyle w:val="TableContents"/>
              <w:bidi w:val="0"/>
              <w:spacing w:before="0" w:after="283"/>
              <w:jc w:val="both"/>
              <w:rPr/>
            </w:pPr>
            <w:r>
              <w:rPr/>
              <w:t> </w:t>
            </w:r>
          </w:p>
        </w:tc>
      </w:tr>
      <w:tr>
        <w:trPr/>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July 16,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3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Carlos L. Macau, Jr.</w:t>
            </w:r>
          </w:p>
        </w:tc>
      </w:tr>
      <w:tr>
        <w:trPr/>
        <w:tc>
          <w:tcPr>
            <w:tcW w:w="173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Carlos L. Macau, Jr.</w:t>
            </w:r>
          </w:p>
        </w:tc>
      </w:tr>
      <w:tr>
        <w:trPr/>
        <w:tc>
          <w:tcPr>
            <w:tcW w:w="173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 -</w:t>
            </w:r>
          </w:p>
        </w:tc>
      </w:tr>
      <w:tr>
        <w:trPr/>
        <w:tc>
          <w:tcPr>
            <w:tcW w:w="173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50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813301ex1-1.htm"/>
      <w:bookmarkStart w:id="26" w:name="ksea029813301ex11"/>
      <w:bookmarkEnd w:id="25"/>
      <w:bookmarkEnd w:id="26"/>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br/>
        <w:t>several Underwriters listed</w:t>
        <w:br/>
        <w:t>in Schedule 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PNC Capital Markets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Fifth Ave, 10th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15222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Truist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Hudson Yards, 70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a Florida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to the several Underwriters listed in Schedule 1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BofA Securities, Inc., PNC Capital Markets LLC, Truist Securities, Inc. and Wells Fargo Securities, LLC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$550,000,000 principal amount of its 4.950% Senior Notes due 2031 and $650,000,000 principal amount of its 5.400% Senior Notes due 2036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will be issued pursuant to an Indenture to be dated as of July 16,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among the Company and Truist Bank,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a Supplemental Indenture to be dated as of July 16, 2026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an “automatic shelf registration statement,” as defined under Rule 405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under the Securities Act of 1933, as amended and the rules and regulations promulgated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Form S-3ASR (File No. 333-297410) not earlier than three years prior to the date hereof covering the offer and sale of certain securities of the Company, including the Securities, from time to time under the Securities Act. Such registration statement became effective under Rule 462(e) of the Securities Act upon filing with the Commission.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Securities Act and the documents otherwise deemed to be a part thereof as of such time pursuant to Rule 430B of the Securities Act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provided, however, that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without reference to a time means such registration statement as amended by any post-effective amendments thereto as of the time of the first contract of sale for the Securities, which time shall be considered the “</w:t>
      </w:r>
      <w:r>
        <w:rPr>
          <w:rFonts w:ascii="Times New Roman;Times;Serif" w:hAnsi="Times New Roman;Times;Serif"/>
          <w:b w:val="false"/>
          <w:i w:val="false"/>
          <w:caps w:val="false"/>
          <w:smallCaps w:val="false"/>
          <w:sz w:val="20"/>
          <w:u w:val="single"/>
        </w:rPr>
        <w:t>new effective date</w:t>
      </w:r>
      <w:r>
        <w:rPr>
          <w:rFonts w:ascii="Times New Roman;Times;Serif" w:hAnsi="Times New Roman;Times;Serif"/>
          <w:b w:val="false"/>
          <w:i w:val="false"/>
          <w:caps w:val="false"/>
          <w:smallCaps w:val="false"/>
          <w:sz w:val="20"/>
        </w:rPr>
        <w:t>” of the Registration Statement with respect to the Securities within the meaning of Rule 430B(f)(2), including the exhibits and schedules thereto as of such time, the documents incorporated or deemed to be incorporated by reference therein at such time pursuant to Item 12 of Form S-3 under the Securities Act and the documents otherwise deemed to be a part thereof as of such time pursuant to Rule 430B. Each preliminary prospectus supplement and the base prospectus used in connection with the offering of the Securities, including the documents incorporated or deemed to be incorporated by reference therein pursuant to Item 12 of Form S-3 under the Securities Act immediately prior to the Time of Sale (as defined below), are collectively referred to herein as a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Promptly after execution and delivery of 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the Company will prepare and file a final prospectus supplement relating to the Securities in accordance with the provisions of Rule 424(b) of the Securities Act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Such final prospectus supplement and the base prospectus, in the form first furnished to the Underwriters for use in connection with the offering and sale of the Securities, including the documents incorporated or deemed to be incorporated by reference therein pursuant to Item 12 of Form S-3 under the Securities Act immediately prior to the Time of Sale, are collectively referred to herein as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For purposes of this Agreement, all references to the Registration Statement, any Preliminary Prospectus or the Prospectus or any amendment or supplement thereto shall be deemed to refer to and include any documents filed after such date under the Securities Exchange Act of 1934, as amended, and the rules and regulations of the Commission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that are deemed to be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4:45 P.M., New York City time on July 13, 2026, the time when sales of the Securities were first made (the “</w:t>
      </w:r>
      <w:r>
        <w:rPr>
          <w:rFonts w:ascii="Times New Roman;Times;Serif" w:hAnsi="Times New Roman;Times;Serif"/>
          <w:b w:val="false"/>
          <w:i w:val="false"/>
          <w:caps w:val="false"/>
          <w:smallCaps w:val="false"/>
          <w:sz w:val="20"/>
          <w:u w:val="single"/>
        </w:rPr>
        <w:t>Time of Sale</w:t>
      </w:r>
      <w:r>
        <w:rPr>
          <w:rFonts w:ascii="Times New Roman;Times;Serif" w:hAnsi="Times New Roman;Times;Serif"/>
          <w:b w:val="false"/>
          <w:i w:val="false"/>
          <w:caps w:val="false"/>
          <w:smallCaps w:val="false"/>
          <w:sz w:val="20"/>
        </w:rPr>
        <w:t>”), the Company had prepared the following information (collectively, the “</w:t>
      </w:r>
      <w:r>
        <w:rPr>
          <w:rFonts w:ascii="Times New Roman;Times;Serif" w:hAnsi="Times New Roman;Times;Serif"/>
          <w:b w:val="false"/>
          <w:i w:val="false"/>
          <w:caps w:val="false"/>
          <w:smallCaps w:val="false"/>
          <w:sz w:val="20"/>
          <w:u w:val="single"/>
        </w:rPr>
        <w:t>Time of Sale Information</w:t>
      </w:r>
      <w:r>
        <w:rPr>
          <w:rFonts w:ascii="Times New Roman;Times;Serif" w:hAnsi="Times New Roman;Times;Serif"/>
          <w:b w:val="false"/>
          <w:i w:val="false"/>
          <w:caps w:val="false"/>
          <w:smallCaps w:val="false"/>
          <w:sz w:val="20"/>
        </w:rPr>
        <w:t>”): a Preliminary Prospectus dated July 13, 2026, and each “</w:t>
      </w:r>
      <w:r>
        <w:rPr>
          <w:rFonts w:ascii="Times New Roman;Times;Serif" w:hAnsi="Times New Roman;Times;Serif"/>
          <w:b w:val="false"/>
          <w:i w:val="false"/>
          <w:caps w:val="false"/>
          <w:smallCaps w:val="false"/>
          <w:sz w:val="20"/>
          <w:u w:val="single"/>
        </w:rPr>
        <w:t>free-writing prospectus</w:t>
      </w:r>
      <w:r>
        <w:rPr>
          <w:rFonts w:ascii="Times New Roman;Times;Serif" w:hAnsi="Times New Roman;Times;Serif"/>
          <w:b w:val="false"/>
          <w:i w:val="false"/>
          <w:caps w:val="false"/>
          <w:smallCaps w:val="false"/>
          <w:sz w:val="20"/>
        </w:rPr>
        <w:t>” (as defined pursuant to Rule 405 under the Securities Act) listed on Annex A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the prices set forth in Schedule 2 hereto of the principal amount thereof plus accrued interest, if any, from the Closing Date (as defined below). The Company will not be obligated to deliver any of the Securities except upon payment for all the Securities to be purchased as provided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and delivery of the Securities will be made at the New York offices of King &amp; Spalding LLP at 10:00 A.M., New York City time, on July 16,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for the Securities shall be made by wire transfer in immediately available funds to the account(s) specified by the Company to the Representatives against delivery to the nominee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for the account of the Underwriters, of one or more global notes representing the Securities (collectively,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with any transfer taxes payable in connection with the sale of the Securities duly paid by the Company. The Global Notes will be made available for inspection by the Representatives not later than 1:00 P.M., New York City time, on the business day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none of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any Representative or any Underwriter of the Company, the transactions contemplated hereby or other matters relating to such transactions will be performed solely for the benefit of such Representative or such Underwriter, as the case may be, and shall not be on behalf of the Company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each Underwriter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The Time of Sale Information, at the Time of Sale did not, and at the Closing Date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The Company (including its agents and representatives, other than the Underwriters in their capacity as such) have not prepared, made, used, authorized, approved or referred to and will not prepare, make, use, authorize, approve or refer to any “</w:t>
      </w:r>
      <w:r>
        <w:rPr>
          <w:rFonts w:ascii="Times New Roman;Times;Serif" w:hAnsi="Times New Roman;Times;Serif"/>
          <w:b w:val="false"/>
          <w:i w:val="false"/>
          <w:caps w:val="false"/>
          <w:smallCaps w:val="false"/>
          <w:sz w:val="20"/>
          <w:u w:val="single"/>
        </w:rPr>
        <w:t>written communication</w:t>
      </w:r>
      <w:r>
        <w:rPr>
          <w:rFonts w:ascii="Times New Roman;Times;Serif" w:hAnsi="Times New Roman;Times;Serif"/>
          <w:b w:val="false"/>
          <w:i w:val="false"/>
          <w:caps w:val="false"/>
          <w:smallCaps w:val="false"/>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xml:space="preserve">”)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is an “</w:t>
      </w:r>
      <w:r>
        <w:rPr>
          <w:rFonts w:ascii="Times New Roman;Times;Serif" w:hAnsi="Times New Roman;Times;Serif"/>
          <w:b w:val="false"/>
          <w:i w:val="false"/>
          <w:caps w:val="false"/>
          <w:smallCaps w:val="false"/>
          <w:sz w:val="20"/>
          <w:u w:val="single"/>
        </w:rPr>
        <w:t>automatic shelf registration statement</w:t>
      </w:r>
      <w:r>
        <w:rPr>
          <w:rFonts w:ascii="Times New Roman;Times;Serif" w:hAnsi="Times New Roman;Times;Serif"/>
          <w:b w:val="false"/>
          <w:i w:val="false"/>
          <w:caps w:val="false"/>
          <w:smallCaps w:val="false"/>
          <w:sz w:val="20"/>
        </w:rPr>
        <w:t>” as defined under Rule 405 of the Securities Act that has been filed with the Commission and automatically declared effective by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xml:space="preserve">”), and did not and will not contain any untrue statement of a material fact or omit to state a material fact required to be stated therein or necessary in order to make the statements therein not misleading; and the Prospectus will comply in all material respects with the Securities Act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only such information furnished by any Underwriter consists of the information described as such in Section 7(b)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Incorporated Documents.</w:t>
      </w:r>
      <w:r>
        <w:rPr>
          <w:rFonts w:ascii="Times New Roman;Times;Serif" w:hAnsi="Times New Roman;Times;Serif"/>
          <w:b w:val="false"/>
          <w:i w:val="false"/>
          <w:caps w:val="false"/>
          <w:smallCaps w:val="false"/>
          <w:sz w:val="20"/>
        </w:rPr>
        <w:t xml:space="preserve"> The documents incorporated by reference in each of the Registration Statement, the Prospectus and the Time of Sale Information,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and the related notes thereto included or 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thereby, and the supporting schedules included or incorporated by reference in each of the Registration Statement, the Prospectus and the Time of Sale Information present fairly the information required to be stated therein; and the other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most recent financial statements of the Company included or incorporated by reference in each of the Registration Statement, the Time of Sale Information and the Prospectus, (i) there has not been any change in the capital stock or long-term debt of the Company or any of its subsidiaries (other than such changes in the capital stock or long-term debt of the Company or any of its subsidiaries that are in the ordinary course of the Company’s business), or any dividend or distribution of any kind declared (other than regular semi-annual cash dividends), set aside for payment, paid or made by the Company on any class of capital stock, or any material adverse change, or any development involving a prospective material adverse change, in or affecting the business, properties, management, financial position,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xml:space="preserve"> The Company and each of the Company’s other significant subsidiaries (as defined under Rule 1-02 of Regulation S-X,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management, financial position, results of operations or prospects of the Company and the Subsidiaries taken as a whole or on the performance by the Company of its obligations under this Agreement and the Securities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Subsidiaries listed in Schedule 3 to this Agreement are the only significant subsidiaries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Capitalization. </w:t>
      </w:r>
      <w:r>
        <w:rPr>
          <w:rFonts w:ascii="Times New Roman;Times;Serif" w:hAnsi="Times New Roman;Times;Serif"/>
          <w:b w:val="false"/>
          <w:i w:val="false"/>
          <w:caps w:val="false"/>
          <w:smallCaps w:val="false"/>
          <w:sz w:val="20"/>
        </w:rPr>
        <w:t>The Company has the capitalization as set forth in each of the Registration Statement, the Time of Sale Information and the Prospectus under the heading “Capitalization”; and all the outstanding shares of capital stock or other equity interests of each Subsidiary of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as otherwise described in each of the Registration Statement, the Time of Sale Information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full right, power and authority to execute and deliver this Agreement, the Securities and the Indenture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to which it is a party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The Indenture. </w:t>
      </w:r>
      <w:r>
        <w:rPr>
          <w:rFonts w:ascii="Times New Roman;Times;Serif" w:hAnsi="Times New Roman;Times;Serif"/>
          <w:b w:val="false"/>
          <w:i w:val="false"/>
          <w:caps w:val="false"/>
          <w:smallCaps w:val="false"/>
          <w:sz w:val="20"/>
        </w:rPr>
        <w:t>The Indenture has been duly qualified under the Trust Indenture Act. The Indenture has been duly authorized by the Company and on the Closing Date will be duly executed and delivered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moratorium, fraudulent transfer or similar laws affecting the enforcement of creditors’ rights generally or by equitable principles relating to enforceability, regardless of whether enforceability is considered in a proceeding in equity or at law,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and the Indenture will conform in all material respects to the requirements of the Trust Indenture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The Securities</w:t>
      </w:r>
      <w:r>
        <w:rPr>
          <w:rFonts w:ascii="Times New Roman;Times;Serif" w:hAnsi="Times New Roman;Times;Serif"/>
          <w:b w:val="false"/>
          <w:i w:val="false"/>
          <w:caps w:val="false"/>
          <w:smallCaps w:val="false"/>
          <w:sz w:val="20"/>
        </w:rPr>
        <w:t>.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in all material respects to the description thereof contained in each of the Registration Statement, the Time of Sale Information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Neither the Company nor any of the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each of the Transaction Documents to which it is a party, 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the Subsidiaries or (iii) result in the violation of any law or statute or any judgment, order, rule or regulation of any court or arbitrator or governmental or regulatory authority having jurisdiction over the Company or any of the subsidiaries, except, in the case of clauses (i) and (iii) above, for any such conflict, breach, violation, default, lien, charge or encumbrance that would not reasonably be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having jurisdiction over the Company is required for the execution, delivery and performance by the Company of each of the Transaction Documents to which it is party, the issuance and sale of the Securities and compliance by the Company with the terms thereof and the consummation of the transactions contemplated by the Transaction Documents, except for those that have been obtained and (i) the registration of the Securities under the Securities Act, (ii) the qualification of the Indenture under the Trust Indenture Act and (iii) such consents, approvals, authorizations, orders and registrations or qualifications as may be required under applicable state securities laws in connection with the purchase and distribution of the Securities by the Underwriters.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described in each of the Registration Statement, the Time of Sale Information and the Prospectus, there are no legal, governmental or regulatory investigations, actions, demands, claims, suits, arbitrations, inquiries or proceedings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Time of Sale Information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the Time of Sale Information and the Prospectus that are not so filed as exhibits to the Registration Statement or described in the Registration Statement, the Time of Sale Information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xml:space="preserve"> Deloitte &amp; Touche LLP, who have audited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xml:space="preserve"> 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charges, encumbrances, claims and defects and imperfections of title except those that are described in each of the Registration Statement, the Time of Sale Information and the Prospectus and those that (i) do not materially interfere with the use made and proposed to be made of such property by the Company and its subsidiaries or (ii) could not reasonably be expected, individually or in the aggregate,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Except as would not, individually or in the aggregate, have a Material Adverse Effect (i) the Company and the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used in or necessary for the conduct of their respective businesses; (ii) the Company and its Subsidiaries’ conduct of their respective businesses does not infringe, misappropriate or otherwise violate any Intellectual Property of any person; (iii) neither the Company nor any of the Subsidiaries has received any written notice of any claim relating to Intellectual Property; and (iv) the Intellectual Property of the Company and the Subsidiaries is not being infringed, misappropriated or otherwise violated by any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Time of Sale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The Company is not, and after giving effect to the offering and sale of the Securities and the application of the 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 xml:space="preserve">Taxes. </w:t>
      </w:r>
      <w:r>
        <w:rPr>
          <w:rFonts w:ascii="Times New Roman;Times;Serif" w:hAnsi="Times New Roman;Times;Serif"/>
          <w:b w:val="false"/>
          <w:i w:val="false"/>
          <w:caps w:val="false"/>
          <w:smallCaps w:val="false"/>
          <w:sz w:val="20"/>
        </w:rPr>
        <w:t>The Company and its Subsidiaries have paid all federal, state, local and foreign taxes and filed all tax returns required to be paid or filed through the date hereof, or have requested extensions of filing deadlines therefor; and except as otherwise disclosed in each of the Registration Statement, the Time of Sale Information and the Prospectus, there is no tax deficiency that has been, or could reasonably be expected to be, asserted against the Company or any of its Subsidiaries or any of their respective properties or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Except as would not, individually or in the aggregate, have a Material Adverse Effect, (i)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(ii) neither the Company nor any of the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or any of the Subsidiaries exists or, to the knowledge of the Company, is contemplated or threatened and the Company is not aware of any existing or imminent labor disturbance by, or dispute with, the employees of any of the Company’s or any of its subsidiaries’ principal suppliers, contractors or customers, except as would not have a Material Adverse Effect. Neither the Company nor any of the Subsidiaries has received any notice of cancellation or termination with respect to any collective bargaining agreement to which it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(i) The Company and the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the Subsidiaries, except in the case of each of (i) and (ii) above, for any such matter as would not, individually or in the aggregate, reasonably be expected to have a Material Adverse Effect; and (iii) except as described in each of the Time of Sale Information and the Prospectus, (x) there is no proceeding that is pending, or that is known to be contemplated, against the Company or any of the Subsidiaries under any Environmental Laws in which a governmental entity is also a party, other than such proceeding regarding which it is reasonably believed no monetary sanctions of $300,000 or more will be imposed, (y) the Company and the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the Subsidiaries, and (z) none of the Company or the Subsidiaries anticipates material capital expenditures relating to any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xml:space="preserve"> (i)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for which the Company or any member of its “</w:t>
      </w:r>
      <w:r>
        <w:rPr>
          <w:rFonts w:ascii="Times New Roman;Times;Serif" w:hAnsi="Times New Roman;Times;Serif"/>
          <w:b w:val="false"/>
          <w:i w:val="false"/>
          <w:caps w:val="false"/>
          <w:smallCaps w:val="false"/>
          <w:sz w:val="20"/>
          <w:u w:val="single"/>
        </w:rPr>
        <w:t>Controlled Group</w:t>
      </w:r>
      <w:r>
        <w:rPr>
          <w:rFonts w:ascii="Times New Roman;Times;Serif" w:hAnsi="Times New Roman;Times;Serif"/>
          <w:b w:val="false"/>
          <w:i w:val="false"/>
          <w:caps w:val="false"/>
          <w:smallCaps w:val="false"/>
          <w:sz w:val="20"/>
        </w:rPr>
        <w:t>”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would have any liability (each, a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an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an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Except as disclosed in the Registration Statement, the Time of Sale Information and the Prospectus, the Company and its subsidiaries maintain systems of internal control over financial reporting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controls over financial reporting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internal controls.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The Company and the Subsidiaries have insurance covering their respective properties, operations, personnel and businesses, including business interruption insurance, which insurance is in amounts and insures against such losses and risks as are adequate to protect the Company and the Subsidiaries and their respective businesses; and neither the Company nor any of the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United Nations Security Council (“</w:t>
      </w:r>
      <w:r>
        <w:rPr>
          <w:rFonts w:ascii="Times New Roman;Times;Serif" w:hAnsi="Times New Roman;Times;Serif"/>
          <w:b w:val="false"/>
          <w:i w:val="false"/>
          <w:caps w:val="false"/>
          <w:smallCaps w:val="false"/>
          <w:sz w:val="20"/>
          <w:u w:val="single"/>
        </w:rPr>
        <w:t>UNSC</w:t>
      </w:r>
      <w:r>
        <w:rPr>
          <w:rFonts w:ascii="Times New Roman;Times;Serif" w:hAnsi="Times New Roman;Times;Serif"/>
          <w:b w:val="false"/>
          <w:i w:val="false"/>
          <w:caps w:val="false"/>
          <w:smallCaps w:val="false"/>
          <w:sz w:val="20"/>
        </w:rPr>
        <w:t>”), the European Union, His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target of Sanctions, including, without limitation, Crimea, Zaporizhzhia and Kherson Regions of Ukraine, the so-called Donetsk People’s Republic, the so-called Luhansk People’s Republic, Cuba, Iran, Syria (before July 1, 2025) and North Korea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r>
      <w:r>
        <w:rPr>
          <w:rFonts w:ascii="Times New Roman;Times;Serif" w:hAnsi="Times New Roman;Times;Serif"/>
          <w:b w:val="false"/>
          <w:i/>
          <w:caps w:val="false"/>
          <w:smallCaps w:val="false"/>
          <w:sz w:val="20"/>
        </w:rPr>
        <w:t>Senior Indebtedness</w:t>
      </w:r>
      <w:r>
        <w:rPr>
          <w:rFonts w:ascii="Times New Roman;Times;Serif" w:hAnsi="Times New Roman;Times;Serif"/>
          <w:b w:val="false"/>
          <w:i w:val="false"/>
          <w:caps w:val="false"/>
          <w:smallCaps w:val="false"/>
          <w:sz w:val="20"/>
        </w:rPr>
        <w:t>. The Securities constitute “senior indebtedness” as such term is defined in any indenture or agreement governing any outstanding subordinated indebtedness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No person has the right to require the Company or any of its subsidiaries to register any securities for sale under the Securities Act by reason of the filing of the Registration Statement with the Commission or the issuance and sale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has not taken, directly or indirectly, any action designed to or that could reasonably be expected to cause or result in any stabilization or manipulation of the price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included or incorporated by reference in any of the Registration Statement, the Time of Sale Information or the Prospectus has been made or reaffirmed without a reasonable basis or has been disclosed other than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Nothing has come to the attention of the Company that has caused the Company to believe that the statistical and market-related data included or incorporated by reference in each of the Registration Statement, the Time of Sale Information and the Prospectus is not based on or derived from sources that are reliable and accurate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Except as otherwise disclosed in each of the Registration Statement, the Time of Sale Information and the Prospectus, the Company and the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 are adequate for, and operate and perform in all material respects as required in connection with the operation of the business of the Company and the Subsidiaries as currently conducted, (ii) have not malfunctioned or failed and (iii) to the knowledge of the Company, are free and clear of all material bugs, errors, defects, Trojan horses, time bombs, back doors, drop dead devices, malware and other corruptants, including software or hardware components that are designed to interrupt use of, permit unauthorized access to or disable, damage or erase the IT Systems. The Company and the Subsidiaries have implemented and maintained commercially reasonable controls, policies, procedures, and safeguards consistent with applicable regulatory standards and customary industry practices to maintain and protect their confidential information and the integrity, continuous operation, redundancy and security of all IT Systems and data (including all personal, personally identifiable, sensitive, confidential or regulated data and information of their respective customers, employees, suppliers, vendors or any other third-party data collected, used, stored, maintained or otherwise processed by or on behalf of the Company or any of the Subsidiaries (collectively, the “Data”)) used in connection with their businesses, and there have been no breaches, violations, outages, destructions, losses, misappropriations, modifications, misuses or unauthorized uses of or accesses to same (each, a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except for those that have been remedied without material cost or liability or the duty to notify any other person, nor any incidents under internal review or investigations relating to the same and except as described in each of the Registration Statement, the Time of Sale Information and the Prospectus. The Company and the Subsidiaries have complied and are presently in material compliance with all applicable laws or statutes and all judgments, orders, rules and regulations of any court or arbitrator or governmental or regulatory authority, internal and external policies and contractual and other legal obligations, in each case, relating to the collection, use, transfer, import, export, storage, protection, disposal, disclosure, processing, privacy and security of IT Systems and Data (collectively, the “</w:t>
      </w:r>
      <w:r>
        <w:rPr>
          <w:rFonts w:ascii="Times New Roman;Times;Serif" w:hAnsi="Times New Roman;Times;Serif"/>
          <w:b w:val="false"/>
          <w:i w:val="false"/>
          <w:caps w:val="false"/>
          <w:smallCaps w:val="false"/>
          <w:sz w:val="20"/>
          <w:u w:val="single"/>
        </w:rPr>
        <w:t>Data Security Obligations</w:t>
      </w:r>
      <w:r>
        <w:rPr>
          <w:rFonts w:ascii="Times New Roman;Times;Serif" w:hAnsi="Times New Roman;Times;Serif"/>
          <w:b w:val="false"/>
          <w:i w:val="false"/>
          <w:caps w:val="false"/>
          <w:smallCaps w:val="false"/>
          <w:sz w:val="20"/>
        </w:rPr>
        <w:t>”) and to the protection of such IT Systems and Data from a Breach. Neither the Company nor any of the Subsidiaries has received any notification of or complaint regarding, or is aware of any other facts that, individually or in the aggregate, would reasonably indicate non-compliance with any Data Security Obligation. The Company and the Subsidiaries have implemented reasonable backup and disaster recovery technology consistent with applicable regulatory standards and customary industry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related to loans and Sections 302 and 906 related to certifications.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tab/>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The Company is not an ineligible issuer and is a well-known seasoned issuer, in each case as defined under the Securities Act, in each case at the times specified in the Securities Act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a final prospectus supplement with the Commission within the time periods specified by Rule 424(b), will file any Issuer Free Writing Prospectus (including the Pricing Term Sheet referred to in Annex B hereto) to the extent required by Rule 433 under the Securities Act;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upon request (i) to each Representative, a conformed electronic copy of the Registration Statement as originally filed and each amendment thereto, in each case including all exhibits and consents filed therewith and during the Prospectus Delivery Period (as defined below), electronic copies of the Prospectus (including all amendments and supplements thereto and documents incorporated by reference therein) and each Issuer Free Writing Prospectus. As used herein, the term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use its reasonable best efforts to obtain as soon as possible the withdrawal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Times;Serif" w:hAnsi="Times New Roman;Times;Serif"/>
          <w:b w:val="false"/>
          <w:i/>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Earnings Statement. </w:t>
      </w:r>
      <w:r>
        <w:rPr>
          <w:rFonts w:ascii="Times New Roman;Times;Serif" w:hAnsi="Times New Roman;Times;Serif"/>
          <w:b w:val="false"/>
          <w:i w:val="false"/>
          <w:caps w:val="false"/>
          <w:smallCaps w:val="false"/>
          <w:sz w:val="20"/>
        </w:rPr>
        <w:t>The Company will make generally available to its security holders and the Representatives as soon as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During the period from the date hereof through and including the Closing Date, the Company will not, without the prior written consent of the Representatives, offer, sell, contract to sell or otherwise dispose of any debt securities issued by the Company and having a tenor of more than one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Securities as described in each of the Registration Statement, the Time of Sale Information and the Prospectus under the heading “Use of proceeds”.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Company will assist the Underwriters in arranging for the Securities to be eligible for clearance and settlement through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will not take, directly or indirectly, any action designed to or that could reasonably be expected to cause or result in any stabilization or manipulation of the price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Record Retention</w:t>
      </w:r>
      <w:r>
        <w:rPr>
          <w:rFonts w:ascii="Times New Roman;Times;Serif" w:hAnsi="Times New Roman;Times;Serif"/>
          <w:b w:val="false"/>
          <w:i w:val="false"/>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represents and agrees that it has not and will not use, authorize use of, refer to, or participate in the planning for use of, any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Times;Serif" w:hAnsi="Times New Roman;Times;Serif"/>
          <w:b w:val="false"/>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Notwithstanding the foregoing, the Underwriters may use the Pricing Term Sheet referred to in Annex B hereto without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Securities on the Closing Date as provided herein is subject to the performance by the Company of its covenants and other obligations hereunder and to the following additional conditions: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Downgrade.</w:t>
      </w:r>
      <w:r>
        <w:rPr>
          <w:rFonts w:ascii="Times New Roman;Times;Serif" w:hAnsi="Times New Roman;Times;Serif"/>
          <w:b w:val="false"/>
          <w:i w:val="false"/>
          <w:caps w:val="false"/>
          <w:smallCaps w:val="false"/>
          <w:sz w:val="20"/>
        </w:rPr>
        <w:t xml:space="preserve"> Subsequent to the earlier of (A) the Time of Sale and (B) the execution and delivery of this Agreement, (i) no downgrading shall have occurred in the rating accorded the Securities or any other debt securities issued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issued by the Company or any of its subsidiaries (other than an announcement with positive implications of a possible upgrading).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Representatives shall have received on and as of the Closing Date a certificate of an executive officer of the Company who 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Comfort Letters.</w:t>
      </w:r>
      <w:r>
        <w:rPr>
          <w:rFonts w:ascii="Times New Roman;Times;Serif" w:hAnsi="Times New Roman;Times;Serif"/>
          <w:b w:val="false"/>
          <w:i w:val="false"/>
          <w:caps w:val="false"/>
          <w:smallCaps w:val="false"/>
          <w:sz w:val="20"/>
        </w:rPr>
        <w:t xml:space="preserve"> On the date of this Agreement and on the Closing Date,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date of this Agreement and on the Closing Date, respectively, shall use a “cut-off” date no more than three business days prior to the date of this Agreement or the Closing Date, respectively.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Chief Financial Officers’ Certificates.</w:t>
      </w:r>
      <w:r>
        <w:rPr>
          <w:rFonts w:ascii="Times New Roman;Times;Serif" w:hAnsi="Times New Roman;Times;Serif"/>
          <w:b w:val="false"/>
          <w:i w:val="false"/>
          <w:caps w:val="false"/>
          <w:smallCaps w:val="false"/>
          <w:sz w:val="20"/>
        </w:rPr>
        <w:t xml:space="preserve"> On the date of this Agreement and the Closing Date, the Company shall have furnished to the Representatives a certificate, dated the respective dates of delivery thereof and addressed to the Representatives, of its chief financial officer with respect to certain financial data of the Company contained in the Registration Statement, the Time of Sale Information and the Prospectus, providing “management comfort” with respect to such information, in form and substance reasonably satisfactory to the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Opinion and 10b-5 Statement of Counsel for the Company.</w:t>
      </w:r>
      <w:r>
        <w:rPr>
          <w:rFonts w:ascii="Times New Roman;Times;Serif" w:hAnsi="Times New Roman;Times;Serif"/>
          <w:b w:val="false"/>
          <w:i w:val="false"/>
          <w:caps w:val="false"/>
          <w:smallCaps w:val="false"/>
          <w:sz w:val="20"/>
        </w:rPr>
        <w:t xml:space="preserve"> Akerman LLP, counsel for the Company, shall have furnished to the Representatives, at the request of the Company, their written opinion and 10b-5 statement, dated the Closing Date and addressed to the Underwriters, in form and substance reasonably satisfactory to the Representatives, to the effect set forth in Annex C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The Representatives shall have received on and as of the Closing Date an opinion and 10b-5 statement, addressed to the Underwriters, of King &amp; Spalding LLP, counsel for the Underwriters, with respect to such matters as the Representatives may reasonably request, and such counsel shall have received such documents and information as they may reasonably request to enable them to pass upon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No Legal Impediment to Issuance.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satisfactory evidence of the good standing of the Company and the Subsidiaries in their respective jurisdiction of organization and their good standing in such other jurisdictions as the Representatives may reasonably request, in each case in writing or any standard form of telecommunication, from the appropriate governmental authorities of such jurisdictions.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Securities shall be eligible for clearance and settlement through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Indenture and Securities</w:t>
      </w:r>
      <w:r>
        <w:rPr>
          <w:rFonts w:ascii="Times New Roman;Times;Serif" w:hAnsi="Times New Roman;Times;Serif"/>
          <w:b w:val="false"/>
          <w:i w:val="false"/>
          <w:caps w:val="false"/>
          <w:smallCaps w:val="false"/>
          <w:sz w:val="20"/>
        </w:rPr>
        <w:t>. The Indenture shall have been duly executed and delivered by a duly authorized officer of the Company and the Trustee, and the Securities shall have been duly executed and delivered by a duly authorized officer of the Company and duly authenticated by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Secretary’s Certificate</w:t>
      </w:r>
      <w:r>
        <w:rPr>
          <w:rFonts w:ascii="Times New Roman;Times;Serif" w:hAnsi="Times New Roman;Times;Serif"/>
          <w:b w:val="false"/>
          <w:i w:val="false"/>
          <w:caps w:val="false"/>
          <w:smallCaps w:val="false"/>
          <w:sz w:val="20"/>
        </w:rPr>
        <w:t>. The Company shall have furnished to the Representatives a Secretary’s Certificate of the Company, in form and substance reasonably satisfactory to counsel for the Underwriters and customary for the type of offering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the Company shall have furnished to the Representatives such further certificates and documents as the Representatives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required to be stated therein or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each of its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fifth paragraph, the seventh paragraph and the third sentence of the thirteenth paragraph under the caption “Underwriting”.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respective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Contribution. </w:t>
      </w:r>
      <w:r>
        <w:rPr>
          <w:rFonts w:ascii="Times New Roman;Times;Serif" w:hAnsi="Times New Roman;Times;Serif"/>
          <w:b w:val="false"/>
          <w:i w:val="false"/>
          <w:caps w:val="false"/>
          <w:smallCaps w:val="false"/>
          <w:sz w:val="20"/>
        </w:rPr>
        <w:t>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this Section 7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7 are not exclusive and shall not limit any rights or remedies that may otherwise be available to any Indemnified Person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(based on the principal amount of Securities that such Underwriter agreed to purchase hereunder) of the Securities of such defaulting Underwriter or Underwriters for which such arrangements have not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9, (ii) the Company for any reason fails to tender the Securities for delivery to the Underwriters or (iii) the Underwriters decline to purchase the Securities for any reason permitted under this Agreement, the Company agrees to reimburse the Underwriters for all reasonable and documented out-of-pocket costs and expenses (including the reasonable and documented fees and expenses of their counsel) reasonably incurred by the Underwriters in connection with this Agreement and the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 (b)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 (c)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Authority of the Representatives.</w:t>
      </w:r>
      <w:r>
        <w:rPr>
          <w:rFonts w:ascii="Times New Roman;Times;Serif" w:hAnsi="Times New Roman;Times;Serif"/>
          <w:b w:val="false"/>
          <w:i w:val="false"/>
          <w:caps w:val="false"/>
          <w:smallCaps w:val="false"/>
          <w:sz w:val="20"/>
        </w:rPr>
        <w:t xml:space="preserve"> Any action by the Underwriters hereunder may be taken by the Representatives on behalf of the Underwriters, and any such action taken by the Representatives shall be binding upon the Underwriters.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notices and other communications hereunder shall be in writing and shall be deemed to have been duly given if mailed or transmitted and confirmed by any standard form of telecommunication. Notices to the Underwriters shall be given to the Representatives: BofA Securities, Inc., 114 West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NY8-114-07-01, New York, NY 10036, Facsimile: (212) 901-7881, Attention: High Grade Debt Capital Markets Transaction Management/Legal; PNC Capital Markets LLC, 300 Fifth Ave, 10th Floor, Pittsburgh, PA 15222, Attention: Debt Capital Markets, Fixed Income Transaction Execution, Email: capitalmarketsnotices@pnc.com; Truist Securities, Inc., 50 Hudson Yards, 70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 (fax: (404) 926-5027), Attention: Investment Grade Debt Capital Markets; and Wells Fargo Securities, LLC, 550 South Tryon Street, 5th Floor, Charlotte, NC 28202, Attention: Transaction Management, Email: tmgcapitalmarkets@wellsfargo.com. Notices to the Company shall be given to it at HEICO Corporation, 3000 Taft Street, Hollywood, Florida 33021, Attention: Joseph Pallot, Email: jpallot@heico.com.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waives any right to trial by jury in any suit or proceeding arising out of or relating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16(e):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Headings. </w:t>
      </w:r>
      <w:r>
        <w:rPr>
          <w:rFonts w:ascii="Times New Roman;Times;Serif" w:hAnsi="Times New Roman;Times;Serif"/>
          <w:b w:val="false"/>
          <w:i w:val="false"/>
          <w:caps w:val="false"/>
          <w:smallCaps w:val="false"/>
          <w:sz w:val="20"/>
        </w:rPr>
        <w:t>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4410"/>
        <w:jc w:val="left"/>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75"/>
        <w:gridCol w:w="2030"/>
      </w:tblGrid>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HEICO CORPORATION</w:t>
            </w:r>
          </w:p>
        </w:tc>
      </w:tr>
    </w:tbl>
    <w:p>
      <w:pPr>
        <w:pStyle w:val="TextBody"/>
        <w:bidi w:val="0"/>
        <w:spacing w:before="0" w:after="0"/>
        <w:ind w:left="0" w:right="0" w:firstLine="441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590"/>
        <w:gridCol w:w="303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0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Carlos L. Macau, Jr.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35" w:type="dxa"/>
            <w:tcBorders/>
            <w:vAlign w:val="center"/>
          </w:tcPr>
          <w:p>
            <w:pPr>
              <w:pStyle w:val="TableContents"/>
              <w:bidi w:val="0"/>
              <w:spacing w:before="0" w:after="283"/>
              <w:jc w:val="left"/>
              <w:rPr>
                <w:sz w:val="20"/>
              </w:rPr>
            </w:pPr>
            <w:r>
              <w:rPr>
                <w:sz w:val="20"/>
              </w:rPr>
              <w:t>Carlos L. Macau, Jr.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35" w:type="dxa"/>
            <w:tcBorders/>
            <w:vAlign w:val="center"/>
          </w:tcPr>
          <w:p>
            <w:pPr>
              <w:pStyle w:val="TableContents"/>
              <w:bidi w:val="0"/>
              <w:spacing w:before="0" w:after="283"/>
              <w:jc w:val="left"/>
              <w:rPr>
                <w:sz w:val="20"/>
              </w:rPr>
            </w:pPr>
            <w:r>
              <w:rPr>
                <w:sz w:val="20"/>
              </w:rPr>
              <w:t xml:space="preserve">Executive Vice President, </w:t>
              <w:br/>
              <w:t>Chief Financial Officer and Treasurer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itself and on behalf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Cody Kiechle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PNC Capital Markets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itself and on behalf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Valerie Shadeck</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itself and on behalf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Robert Nordlinger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itself and on behalf of the</w:t>
        <w:br/>
        <w:t>several Underwriters listed</w:t>
        <w:br/>
        <w:t>in Schedule 1 hereto.</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Carolyn Hurley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right"/>
        <w:rPr>
          <w:caps w:val="false"/>
          <w:smallCaps w:val="false"/>
        </w:rPr>
      </w:pPr>
      <w:r>
        <w:rPr>
          <w:caps w:val="false"/>
          <w:smallCaps w:val="false"/>
        </w:rPr>
        <w:t> </w:t>
      </w:r>
    </w:p>
    <w:tbl>
      <w:tblPr>
        <w:tblW w:w="6580" w:type="dxa"/>
        <w:jc w:val="left"/>
        <w:tblInd w:w="0" w:type="dxa"/>
        <w:tblLayout w:type="fixed"/>
        <w:tblCellMar>
          <w:top w:w="0" w:type="dxa"/>
          <w:left w:w="0" w:type="dxa"/>
          <w:bottom w:w="28" w:type="dxa"/>
          <w:right w:w="0" w:type="dxa"/>
        </w:tblCellMar>
      </w:tblPr>
      <w:tblGrid>
        <w:gridCol w:w="3605"/>
        <w:gridCol w:w="60"/>
        <w:gridCol w:w="140"/>
        <w:gridCol w:w="1220"/>
        <w:gridCol w:w="60"/>
        <w:gridCol w:w="60"/>
        <w:gridCol w:w="140"/>
        <w:gridCol w:w="1220"/>
        <w:gridCol w:w="75"/>
      </w:tblGrid>
      <w:tr>
        <w:trPr/>
        <w:tc>
          <w:tcPr>
            <w:tcW w:w="3605" w:type="dxa"/>
            <w:tcBorders>
              <w:bottom w:val="single" w:sz="12" w:space="0" w:color="000000"/>
            </w:tcBorders>
            <w:vAlign w:val="center"/>
          </w:tcPr>
          <w:p>
            <w:pPr>
              <w:pStyle w:val="TableContents"/>
              <w:bidi w:val="0"/>
              <w:spacing w:before="0" w:after="283"/>
              <w:jc w:val="both"/>
              <w:rPr/>
            </w:pPr>
            <w:r>
              <w:rPr/>
              <w:t>Underwriter</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pPr>
            <w:r>
              <w:rPr/>
              <w:t>Principal</w:t>
              <w:br/>
              <w:t>Amount of</w:t>
              <w:br/>
              <w:t>2031 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pPr>
            <w:r>
              <w:rPr/>
              <w:t>Principal</w:t>
              <w:br/>
              <w:t>Amount of</w:t>
              <w:br/>
              <w:t>2036 Notes</w:t>
            </w:r>
          </w:p>
        </w:tc>
        <w:tc>
          <w:tcPr>
            <w:tcW w:w="75" w:type="dxa"/>
            <w:tcBorders/>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Truist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130,000,000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both"/>
              <w:rPr/>
            </w:pPr>
            <w:r>
              <w:rPr/>
              <w:t>BofA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79,750,000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94,250,000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PNC Capital Markets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79,750,000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94,250,000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both"/>
              <w:rPr/>
            </w:pPr>
            <w:r>
              <w:rPr/>
              <w:t>Wells Fargo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79,750,000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94,250,000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Credit Agricole Securities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55,000,000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65,000,000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both"/>
              <w:rPr/>
            </w:pPr>
            <w:r>
              <w:rPr/>
              <w:t>TD Securities (USA)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55,000,000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65,000,000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Huntington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33,000,000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39,000,000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both"/>
              <w:rPr/>
            </w:pPr>
            <w:r>
              <w:rPr/>
              <w:t>J.P. Morgan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19,250,000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22,750,000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M&amp;T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19,250,000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22,750,000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shd w:fill="FFFFFF" w:val="clear"/>
            <w:tcMar>
              <w:bottom w:w="0" w:type="dxa"/>
            </w:tcMar>
            <w:vAlign w:val="center"/>
          </w:tcPr>
          <w:p>
            <w:pPr>
              <w:pStyle w:val="TableContents"/>
              <w:bidi w:val="0"/>
              <w:spacing w:before="0" w:after="283"/>
              <w:jc w:val="both"/>
              <w:rPr/>
            </w:pPr>
            <w:r>
              <w:rPr/>
              <w:t>RBC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220" w:type="dxa"/>
            <w:tcBorders>
              <w:bottom w:val="single" w:sz="12" w:space="0" w:color="000000"/>
            </w:tcBorders>
            <w:shd w:fill="FFFFFF" w:val="clear"/>
            <w:vAlign w:val="center"/>
          </w:tcPr>
          <w:p>
            <w:pPr>
              <w:pStyle w:val="TableContents"/>
              <w:bidi w:val="0"/>
              <w:spacing w:before="0" w:after="283"/>
              <w:jc w:val="right"/>
              <w:rPr/>
            </w:pPr>
            <w:r>
              <w:rPr/>
              <w:t>19,250,000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220" w:type="dxa"/>
            <w:tcBorders>
              <w:bottom w:val="single" w:sz="12" w:space="0" w:color="000000"/>
            </w:tcBorders>
            <w:shd w:fill="FFFFFF" w:val="clear"/>
            <w:vAlign w:val="center"/>
          </w:tcPr>
          <w:p>
            <w:pPr>
              <w:pStyle w:val="TableContents"/>
              <w:bidi w:val="0"/>
              <w:spacing w:before="0" w:after="283"/>
              <w:jc w:val="right"/>
              <w:rPr/>
            </w:pPr>
            <w:r>
              <w:rPr/>
              <w:t>22,750,000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550,000,000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650,000,000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Schedule 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righ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7265"/>
        <w:gridCol w:w="60"/>
        <w:gridCol w:w="102"/>
        <w:gridCol w:w="1163"/>
        <w:gridCol w:w="230"/>
      </w:tblGrid>
      <w:tr>
        <w:trPr/>
        <w:tc>
          <w:tcPr>
            <w:tcW w:w="7265" w:type="dxa"/>
            <w:tcBorders>
              <w:bottom w:val="single" w:sz="12" w:space="0" w:color="000000"/>
            </w:tcBorders>
            <w:vAlign w:val="center"/>
          </w:tcPr>
          <w:p>
            <w:pPr>
              <w:pStyle w:val="TableContents"/>
              <w:bidi w:val="0"/>
              <w:spacing w:before="0" w:after="283"/>
              <w:jc w:val="left"/>
              <w:rPr/>
            </w:pPr>
            <w:r>
              <w:rPr/>
              <w:t>Notes Offered</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pPr>
            <w:r>
              <w:rPr/>
              <w:t>Price to the</w:t>
              <w:br/>
              <w:t>Underwriters</w:t>
            </w:r>
          </w:p>
        </w:tc>
        <w:tc>
          <w:tcPr>
            <w:tcW w:w="230" w:type="dxa"/>
            <w:tcBorders/>
            <w:tcMar>
              <w:bottom w:w="0" w:type="dxa"/>
            </w:tcMar>
            <w:vAlign w:val="center"/>
          </w:tcPr>
          <w:p>
            <w:pPr>
              <w:pStyle w:val="TableContents"/>
              <w:bidi w:val="0"/>
              <w:spacing w:before="0" w:after="283"/>
              <w:jc w:val="left"/>
              <w:rPr/>
            </w:pPr>
            <w:r>
              <w:rPr/>
              <w:t> </w:t>
            </w:r>
          </w:p>
        </w:tc>
      </w:tr>
      <w:tr>
        <w:trPr/>
        <w:tc>
          <w:tcPr>
            <w:tcW w:w="7265" w:type="dxa"/>
            <w:tcBorders/>
            <w:shd w:fill="CCEEFF" w:val="clear"/>
            <w:tcMar>
              <w:bottom w:w="0" w:type="dxa"/>
            </w:tcMar>
            <w:vAlign w:val="center"/>
          </w:tcPr>
          <w:p>
            <w:pPr>
              <w:pStyle w:val="TableContents"/>
              <w:bidi w:val="0"/>
              <w:spacing w:before="0" w:after="283"/>
              <w:jc w:val="left"/>
              <w:rPr/>
            </w:pPr>
            <w:r>
              <w:rPr/>
              <w:t>$550,000,000 aggregate principal amount of 4.950% Senior Notes due 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99.336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7265" w:type="dxa"/>
            <w:tcBorders/>
            <w:shd w:fill="FFFFFF" w:val="clear"/>
            <w:tcMar>
              <w:bottom w:w="0" w:type="dxa"/>
            </w:tcMar>
            <w:vAlign w:val="center"/>
          </w:tcPr>
          <w:p>
            <w:pPr>
              <w:pStyle w:val="TableContents"/>
              <w:bidi w:val="0"/>
              <w:spacing w:before="0" w:after="283"/>
              <w:jc w:val="left"/>
              <w:rPr/>
            </w:pPr>
            <w:r>
              <w:rPr/>
              <w:t>$650,000,000 aggregate principal amount of 5.400% Senior Notes due 2036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99.255</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Schedule 2-1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 OF HEICO CORPORATION</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1655"/>
        <w:gridCol w:w="60"/>
        <w:gridCol w:w="3515"/>
      </w:tblGrid>
      <w:tr>
        <w:trPr/>
        <w:tc>
          <w:tcPr>
            <w:tcW w:w="1655" w:type="dxa"/>
            <w:tcBorders>
              <w:bottom w:val="single" w:sz="12" w:space="0" w:color="000000"/>
            </w:tcBorders>
            <w:vAlign w:val="center"/>
          </w:tcPr>
          <w:p>
            <w:pPr>
              <w:pStyle w:val="TableContents"/>
              <w:bidi w:val="0"/>
              <w:spacing w:before="0" w:after="283"/>
              <w:jc w:val="both"/>
              <w:rPr>
                <w:sz w:val="20"/>
              </w:rPr>
            </w:pPr>
            <w:r>
              <w:rPr>
                <w:sz w:val="20"/>
              </w:rPr>
              <w:t>Name</w:t>
            </w:r>
          </w:p>
        </w:tc>
        <w:tc>
          <w:tcPr>
            <w:tcW w:w="60" w:type="dxa"/>
            <w:tcBorders/>
            <w:tcMar>
              <w:bottom w:w="0" w:type="dxa"/>
            </w:tcMar>
            <w:vAlign w:val="center"/>
          </w:tcPr>
          <w:p>
            <w:pPr>
              <w:pStyle w:val="TableContents"/>
              <w:bidi w:val="0"/>
              <w:spacing w:before="0" w:after="283"/>
              <w:jc w:val="both"/>
              <w:rPr/>
            </w:pPr>
            <w:r>
              <w:rPr/>
              <w:t> </w:t>
            </w:r>
          </w:p>
        </w:tc>
        <w:tc>
          <w:tcPr>
            <w:tcW w:w="3515" w:type="dxa"/>
            <w:tcBorders>
              <w:bottom w:val="single" w:sz="12" w:space="0" w:color="000000"/>
            </w:tcBorders>
            <w:vAlign w:val="center"/>
          </w:tcPr>
          <w:p>
            <w:pPr>
              <w:pStyle w:val="TableContents"/>
              <w:bidi w:val="0"/>
              <w:spacing w:before="0" w:after="283"/>
              <w:jc w:val="both"/>
              <w:rPr>
                <w:sz w:val="20"/>
              </w:rPr>
            </w:pPr>
            <w:r>
              <w:rPr>
                <w:sz w:val="20"/>
              </w:rPr>
              <w:t>State or Other Jurisdiction of Incorporation</w:t>
            </w:r>
          </w:p>
        </w:tc>
      </w:tr>
      <w:tr>
        <w:trPr/>
        <w:tc>
          <w:tcPr>
            <w:tcW w:w="1655" w:type="dxa"/>
            <w:tcBorders/>
            <w:shd w:fill="CCEEFF" w:val="clear"/>
            <w:tcMar>
              <w:bottom w:w="0" w:type="dxa"/>
            </w:tcMar>
            <w:vAlign w:val="center"/>
          </w:tcPr>
          <w:p>
            <w:pPr>
              <w:pStyle w:val="TableContents"/>
              <w:bidi w:val="0"/>
              <w:spacing w:before="0" w:after="283"/>
              <w:jc w:val="both"/>
              <w:rPr>
                <w:sz w:val="20"/>
              </w:rPr>
            </w:pPr>
            <w:r>
              <w:rPr>
                <w:sz w:val="20"/>
              </w:rPr>
              <w:t>Seal Dynamics LLC</w:t>
            </w:r>
          </w:p>
        </w:tc>
        <w:tc>
          <w:tcPr>
            <w:tcW w:w="60" w:type="dxa"/>
            <w:tcBorders/>
            <w:shd w:fill="CCEEFF" w:val="clear"/>
            <w:tcMar>
              <w:bottom w:w="0" w:type="dxa"/>
            </w:tcMar>
            <w:vAlign w:val="center"/>
          </w:tcPr>
          <w:p>
            <w:pPr>
              <w:pStyle w:val="TableContents"/>
              <w:bidi w:val="0"/>
              <w:spacing w:before="0" w:after="283"/>
              <w:jc w:val="both"/>
              <w:rPr/>
            </w:pPr>
            <w:r>
              <w:rPr/>
              <w:t> </w:t>
            </w:r>
          </w:p>
        </w:tc>
        <w:tc>
          <w:tcPr>
            <w:tcW w:w="3515" w:type="dxa"/>
            <w:tcBorders/>
            <w:shd w:fill="CCEEFF" w:val="clear"/>
            <w:tcMar>
              <w:bottom w:w="0" w:type="dxa"/>
            </w:tcMar>
            <w:vAlign w:val="center"/>
          </w:tcPr>
          <w:p>
            <w:pPr>
              <w:pStyle w:val="TableContents"/>
              <w:bidi w:val="0"/>
              <w:spacing w:before="0" w:after="283"/>
              <w:jc w:val="both"/>
              <w:rPr>
                <w:sz w:val="20"/>
              </w:rPr>
            </w:pPr>
            <w:r>
              <w:rPr>
                <w:sz w:val="20"/>
              </w:rPr>
              <w:t>Florida</w:t>
            </w:r>
          </w:p>
        </w:tc>
      </w:tr>
      <w:tr>
        <w:trPr/>
        <w:tc>
          <w:tcPr>
            <w:tcW w:w="1655" w:type="dxa"/>
            <w:tcBorders/>
            <w:shd w:fill="FFFFFF" w:val="clear"/>
            <w:tcMar>
              <w:bottom w:w="0" w:type="dxa"/>
            </w:tcMar>
            <w:vAlign w:val="center"/>
          </w:tcPr>
          <w:p>
            <w:pPr>
              <w:pStyle w:val="TableContents"/>
              <w:bidi w:val="0"/>
              <w:spacing w:before="0" w:after="283"/>
              <w:jc w:val="both"/>
              <w:rPr>
                <w:sz w:val="20"/>
              </w:rPr>
            </w:pPr>
            <w:r>
              <w:rPr>
                <w:sz w:val="20"/>
              </w:rPr>
              <w:t>Wencor Parent, Inc.</w:t>
            </w:r>
          </w:p>
        </w:tc>
        <w:tc>
          <w:tcPr>
            <w:tcW w:w="60" w:type="dxa"/>
            <w:tcBorders/>
            <w:shd w:fill="FFFFFF" w:val="clear"/>
            <w:tcMar>
              <w:bottom w:w="0" w:type="dxa"/>
            </w:tcMar>
            <w:vAlign w:val="center"/>
          </w:tcPr>
          <w:p>
            <w:pPr>
              <w:pStyle w:val="TableContents"/>
              <w:bidi w:val="0"/>
              <w:spacing w:before="0" w:after="283"/>
              <w:jc w:val="both"/>
              <w:rPr/>
            </w:pPr>
            <w:r>
              <w:rPr/>
              <w:t> </w:t>
            </w:r>
          </w:p>
        </w:tc>
        <w:tc>
          <w:tcPr>
            <w:tcW w:w="3515" w:type="dxa"/>
            <w:tcBorders/>
            <w:shd w:fill="FFFFFF" w:val="clear"/>
            <w:tcMar>
              <w:bottom w:w="0" w:type="dxa"/>
            </w:tcMar>
            <w:vAlign w:val="center"/>
          </w:tcPr>
          <w:p>
            <w:pPr>
              <w:pStyle w:val="TableContents"/>
              <w:bidi w:val="0"/>
              <w:spacing w:before="0" w:after="283"/>
              <w:jc w:val="both"/>
              <w:rPr>
                <w:sz w:val="20"/>
              </w:rPr>
            </w:pPr>
            <w:r>
              <w:rPr>
                <w:sz w:val="20"/>
              </w:rPr>
              <w:t>Delaware</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Schedule 3-1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Information</w:t>
      </w:r>
    </w:p>
    <w:p>
      <w:pPr>
        <w:pStyle w:val="TextBody"/>
        <w:bidi w:val="0"/>
        <w:spacing w:before="0" w:after="0"/>
        <w:ind w:left="360" w:right="0" w:hanging="36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pPr>
            <w:r>
              <w:rPr/>
              <w:t>Pricing Term Sheet, dated July 13, 2026, substantially in the form of Annex B.</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A-1</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333-297410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 4.950% Senior Notes due 2031 (the “2031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$650,000,000 5.400% Senior Notes due 2036 (the “2036 Notes”)</w:t>
      </w:r>
    </w:p>
    <w:p>
      <w:pPr>
        <w:pStyle w:val="TextBody"/>
        <w:bidi w:val="0"/>
        <w:spacing w:before="0" w:after="0"/>
        <w:ind w:left="0" w:right="0" w:hanging="0"/>
        <w:jc w:val="center"/>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2825"/>
        <w:gridCol w:w="60"/>
        <w:gridCol w:w="4640"/>
      </w:tblGrid>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HEICO Corporation (the “Issuer”)</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Type:</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unsecured</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Ratings*:</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Baa1 (stable) by Moody’s / BBB+ (stable) by Fitch</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13, 2026</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T+3; July 16, 2026</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Size:</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 aggregate principal amount of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$650,000,000 aggregate principal amount of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2031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2036 for the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Coupon: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for the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 Price:</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99.936% of face amount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99.905% of face amount for the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4.964%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5.412% for the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Spread to Benchmark Treasury: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bps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bps for the 2036 Notes</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283"/>
              <w:jc w:val="both"/>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60" w:type="dxa"/>
            <w:tcBorders/>
            <w:vAlign w:val="center"/>
          </w:tcPr>
          <w:p>
            <w:pPr>
              <w:pStyle w:val="TableContents"/>
              <w:bidi w:val="0"/>
              <w:spacing w:before="0" w:after="283"/>
              <w:jc w:val="both"/>
              <w:rPr/>
            </w:pPr>
            <w:r>
              <w:rPr/>
              <w:t> </w:t>
            </w:r>
          </w:p>
        </w:tc>
        <w:tc>
          <w:tcPr>
            <w:tcW w:w="46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 due June 30, 2031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due May 15, 2036 for the 2036 Notes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B-1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20"/>
        <w:gridCol w:w="60"/>
        <w:gridCol w:w="8625"/>
      </w:tblGrid>
      <w:tr>
        <w:trPr/>
        <w:tc>
          <w:tcPr>
            <w:tcW w:w="1520" w:type="dxa"/>
            <w:tcBorders/>
            <w:vAlign w:val="center"/>
          </w:tcPr>
          <w:p>
            <w:pPr>
              <w:pStyle w:val="TableContents"/>
              <w:bidi w:val="0"/>
              <w:spacing w:before="0" w:after="283"/>
              <w:jc w:val="left"/>
              <w:rPr>
                <w:b/>
                <w:sz w:val="20"/>
              </w:rPr>
            </w:pPr>
            <w:r>
              <w:rPr>
                <w:b/>
                <w:sz w:val="20"/>
              </w:rPr>
              <w:t>Benchmark Treasury Price / Yield:</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98-30 1/8 / 4.364% for the 2031 Notes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98-04+ / 4.612% for the 2036 Notes</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283"/>
              <w:jc w:val="both"/>
              <w:rPr/>
            </w:pPr>
            <w:r>
              <w:rPr/>
              <w:t> </w:t>
            </w:r>
          </w:p>
        </w:tc>
      </w:tr>
      <w:tr>
        <w:trPr/>
        <w:tc>
          <w:tcPr>
            <w:tcW w:w="1520" w:type="dxa"/>
            <w:tcBorders/>
            <w:vAlign w:val="center"/>
          </w:tcPr>
          <w:p>
            <w:pPr>
              <w:pStyle w:val="TableContents"/>
              <w:bidi w:val="0"/>
              <w:spacing w:before="0" w:after="283"/>
              <w:jc w:val="left"/>
              <w:rPr>
                <w:b/>
                <w:sz w:val="20"/>
              </w:rPr>
            </w:pPr>
            <w:r>
              <w:rPr>
                <w:b/>
                <w:sz w:val="20"/>
              </w:rPr>
              <w:t>Interest Payment Dates:</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283"/>
              <w:jc w:val="both"/>
              <w:rPr>
                <w:sz w:val="20"/>
              </w:rPr>
            </w:pPr>
            <w:r>
              <w:rPr>
                <w:sz w:val="20"/>
              </w:rPr>
              <w:t>February 1 and August 1 of each year, commencing February 1, 2027</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283"/>
              <w:jc w:val="both"/>
              <w:rPr/>
            </w:pPr>
            <w:r>
              <w:rPr/>
              <w:t> </w:t>
            </w:r>
          </w:p>
        </w:tc>
      </w:tr>
      <w:tr>
        <w:trPr/>
        <w:tc>
          <w:tcPr>
            <w:tcW w:w="1520" w:type="dxa"/>
            <w:tcBorders/>
            <w:vAlign w:val="center"/>
          </w:tcPr>
          <w:p>
            <w:pPr>
              <w:pStyle w:val="TableContents"/>
              <w:bidi w:val="0"/>
              <w:spacing w:before="0" w:after="283"/>
              <w:jc w:val="left"/>
              <w:rPr>
                <w:b/>
                <w:sz w:val="20"/>
              </w:rPr>
            </w:pPr>
            <w:r>
              <w:rPr>
                <w:b/>
                <w:sz w:val="20"/>
              </w:rPr>
              <w:t>Optional Redemption:</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Prior to July 1, 2031 (one month prior to the maturity date of the notes), at a redemption price equal to the greater of (i)(a) the sum of the present values of the remaining scheduled payments of principal and interest thereon discounted to the redemption date (assuming the notes matured on July 1, 2031) on a semi-annual basis (assuming a 360-day year consisting of twelve 30-day months) at the Treasury Rate plus 10 basis points less (b) interest accrued to the date of redemption, and (ii) 100% of the principal amount of the notes to be redeemed, plus, in either case, accrued and unpaid interest thereon to, but excluding, the redemption date.</w:t>
            </w:r>
          </w:p>
          <w:p>
            <w:pPr>
              <w:pStyle w:val="TableContents"/>
              <w:bidi w:val="0"/>
              <w:spacing w:before="0" w:after="0"/>
              <w:ind w:left="186"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July 1, 2031, at a redemption price equal to 100% of the principal amount of the notes being redeemed plus accrued and unpaid interest thereon to, but excluding, the redemption date.</w:t>
            </w:r>
          </w:p>
          <w:p>
            <w:pPr>
              <w:pStyle w:val="TableContents"/>
              <w:bidi w:val="0"/>
              <w:spacing w:before="0" w:after="0"/>
              <w:ind w:left="186"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Prior to May 1, 2036 (three months prior to the maturity date of the notes), at a redemption price equal to the greater of (i)(a) the sum of the present values of the remaining scheduled payments of principal and interest thereon discounted to the redemption date (assuming the notes matured on May 1, 2036) on a semi-annual basis (assuming a 360-day year consisting of twelve 30-day months) at the Treasury Rate plus 15 basis points less (b) interest accrued to the date of redemption, and (ii) 100% of the principal amount of the notes to be redeemed, plus, in either case, accrued and unpaid interest thereon to, but excluding, the redemption date.</w:t>
            </w:r>
          </w:p>
          <w:p>
            <w:pPr>
              <w:pStyle w:val="TableContents"/>
              <w:bidi w:val="0"/>
              <w:spacing w:before="0" w:after="0"/>
              <w:ind w:left="186"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May 1, 2036, at a redemption price equal to 100% of the principal amount of the notes being redeemed plus accrued and unpaid interest thereon to, but excluding, the redemption date.</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283"/>
              <w:jc w:val="both"/>
              <w:rPr/>
            </w:pPr>
            <w:r>
              <w:rPr/>
              <w:t> </w:t>
            </w:r>
          </w:p>
        </w:tc>
      </w:tr>
      <w:tr>
        <w:trPr/>
        <w:tc>
          <w:tcPr>
            <w:tcW w:w="1520" w:type="dxa"/>
            <w:tcBorders/>
            <w:vAlign w:val="center"/>
          </w:tcPr>
          <w:p>
            <w:pPr>
              <w:pStyle w:val="TableContents"/>
              <w:bidi w:val="0"/>
              <w:spacing w:before="0" w:after="283"/>
              <w:jc w:val="left"/>
              <w:rPr>
                <w:b/>
                <w:sz w:val="20"/>
              </w:rPr>
            </w:pPr>
            <w:r>
              <w:rPr>
                <w:b/>
                <w:sz w:val="20"/>
              </w:rPr>
              <w:t>Joint Book-Running Managers:</w:t>
            </w:r>
          </w:p>
        </w:tc>
        <w:tc>
          <w:tcPr>
            <w:tcW w:w="60" w:type="dxa"/>
            <w:tcBorders/>
            <w:vAlign w:val="center"/>
          </w:tcPr>
          <w:p>
            <w:pPr>
              <w:pStyle w:val="TableContents"/>
              <w:bidi w:val="0"/>
              <w:spacing w:before="0" w:after="283"/>
              <w:jc w:val="both"/>
              <w:rPr/>
            </w:pPr>
            <w:r>
              <w:rPr/>
              <w:t> </w:t>
            </w:r>
          </w:p>
        </w:tc>
        <w:tc>
          <w:tcPr>
            <w:tcW w:w="8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B-2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30" w:type="dxa"/>
        <w:jc w:val="left"/>
        <w:tblInd w:w="0" w:type="dxa"/>
        <w:tblLayout w:type="fixed"/>
        <w:tblCellMar>
          <w:top w:w="0" w:type="dxa"/>
          <w:left w:w="0" w:type="dxa"/>
          <w:bottom w:w="0" w:type="dxa"/>
          <w:right w:w="0" w:type="dxa"/>
        </w:tblCellMar>
      </w:tblPr>
      <w:tblGrid>
        <w:gridCol w:w="1250"/>
        <w:gridCol w:w="60"/>
        <w:gridCol w:w="3620"/>
      </w:tblGrid>
      <w:tr>
        <w:trPr/>
        <w:tc>
          <w:tcPr>
            <w:tcW w:w="1250" w:type="dxa"/>
            <w:tcBorders/>
            <w:vAlign w:val="center"/>
          </w:tcPr>
          <w:p>
            <w:pPr>
              <w:pStyle w:val="TableContents"/>
              <w:bidi w:val="0"/>
              <w:spacing w:before="0" w:after="283"/>
              <w:jc w:val="left"/>
              <w:rPr>
                <w:b/>
                <w:sz w:val="20"/>
              </w:rPr>
            </w:pPr>
            <w:r>
              <w:rPr>
                <w:b/>
                <w:sz w:val="20"/>
              </w:rPr>
              <w:t>Co-Managers:</w:t>
            </w:r>
          </w:p>
        </w:tc>
        <w:tc>
          <w:tcPr>
            <w:tcW w:w="60" w:type="dxa"/>
            <w:tcBorders/>
            <w:vAlign w:val="center"/>
          </w:tcPr>
          <w:p>
            <w:pPr>
              <w:pStyle w:val="TableContents"/>
              <w:bidi w:val="0"/>
              <w:spacing w:before="0" w:after="283"/>
              <w:jc w:val="both"/>
              <w:rPr/>
            </w:pPr>
            <w:r>
              <w:rPr/>
              <w:t> </w:t>
            </w:r>
          </w:p>
        </w:tc>
        <w:tc>
          <w:tcPr>
            <w:tcW w:w="36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620" w:type="dxa"/>
            <w:tcBorders/>
            <w:vAlign w:val="center"/>
          </w:tcPr>
          <w:p>
            <w:pPr>
              <w:pStyle w:val="TableContents"/>
              <w:bidi w:val="0"/>
              <w:spacing w:before="0" w:after="283"/>
              <w:jc w:val="both"/>
              <w:rPr/>
            </w:pPr>
            <w:r>
              <w:rPr/>
              <w:t> </w:t>
            </w:r>
          </w:p>
        </w:tc>
      </w:tr>
      <w:tr>
        <w:trPr/>
        <w:tc>
          <w:tcPr>
            <w:tcW w:w="1250" w:type="dxa"/>
            <w:tcBorders/>
            <w:vAlign w:val="center"/>
          </w:tcPr>
          <w:p>
            <w:pPr>
              <w:pStyle w:val="TableContents"/>
              <w:bidi w:val="0"/>
              <w:spacing w:before="0" w:after="283"/>
              <w:jc w:val="left"/>
              <w:rPr>
                <w:b/>
                <w:sz w:val="20"/>
              </w:rPr>
            </w:pPr>
            <w:r>
              <w:rPr>
                <w:b/>
                <w:sz w:val="20"/>
              </w:rPr>
              <w:t>CUSIP / ISIN:</w:t>
            </w:r>
          </w:p>
        </w:tc>
        <w:tc>
          <w:tcPr>
            <w:tcW w:w="60" w:type="dxa"/>
            <w:tcBorders/>
            <w:vAlign w:val="center"/>
          </w:tcPr>
          <w:p>
            <w:pPr>
              <w:pStyle w:val="TableContents"/>
              <w:bidi w:val="0"/>
              <w:spacing w:before="0" w:after="283"/>
              <w:jc w:val="both"/>
              <w:rPr/>
            </w:pPr>
            <w:r>
              <w:rPr/>
              <w:t> </w:t>
            </w:r>
          </w:p>
        </w:tc>
        <w:tc>
          <w:tcPr>
            <w:tcW w:w="36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422806 AC3 / US422806AC32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422806 AD1 / US422806AD15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b/>
              </w:rPr>
            </w:pPr>
            <w:r>
              <w:rPr>
                <w:b/>
              </w:rPr>
              <w:t>(*)</w:t>
            </w:r>
          </w:p>
        </w:tc>
        <w:tc>
          <w:tcPr>
            <w:tcW w:w="9909" w:type="dxa"/>
            <w:tcBorders/>
            <w:vAlign w:val="center"/>
          </w:tcPr>
          <w:p>
            <w:pPr>
              <w:pStyle w:val="TableContents"/>
              <w:bidi w:val="0"/>
              <w:spacing w:before="0" w:after="283"/>
              <w:jc w:val="both"/>
              <w:rPr>
                <w:b/>
              </w:rPr>
            </w:pPr>
            <w:r>
              <w:rPr>
                <w:b/>
              </w:rPr>
              <w:t>A securities rating is not a recommendation to buy, sell or hold securities and may be revised or withdrawn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b/>
              </w:rPr>
            </w:pPr>
            <w:r>
              <w:rPr>
                <w:b/>
              </w:rPr>
              <w:t>(**)</w:t>
            </w:r>
          </w:p>
        </w:tc>
        <w:tc>
          <w:tcPr>
            <w:tcW w:w="9998" w:type="dxa"/>
            <w:tcBorders/>
            <w:vAlign w:val="center"/>
          </w:tcPr>
          <w:p>
            <w:pPr>
              <w:pStyle w:val="TableContents"/>
              <w:bidi w:val="0"/>
              <w:spacing w:before="0" w:after="283"/>
              <w:jc w:val="both"/>
              <w:rPr>
                <w:b/>
              </w:rPr>
            </w:pPr>
            <w:r>
              <w:rPr>
                <w:b/>
              </w:rPr>
              <w:t>It is expected that delivery of the notes will be made against payment therefor on or about July 16, 2026, which will be the third business day following the date of pricing of the notes, or “T+3.” Under Rule 15c6-1 of the Exchange Act, trades in the secondary market generally are required to settle in one business day, unless the parties to any such trade expressly agree otherwise. Accordingly, purchasers who wish to trade notes before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HEICO Corporation has filed a registration statement (including a prospectus) with the SEC for the offering to which this communication relates. Before you invest, you should read the prospectus in that registration statement and other documents HEICO Corporation has filed with the SEC for more complete information about HEICO Corporation and this offering. You may get these documents for free by visiting EDGAR on the SEC Web site at www.sec.gov. Alternatively, HEICO Corporation, any underwriter or any dealer participating in the offering will arrange to send you the prospectus if you request it by calling Truist Securities, Inc. at 1-800-685-4786, BofA Securities, Inc. at 1-800-294-1322, Wells Fargo Securities, LLC by calling toll-free 1-800-645-3751 or PNC Capital Markets LLC by calling toll-free at 1-855-881-0697.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rPr>
      </w:pPr>
      <w:r>
        <w:rPr>
          <w:caps/>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813301ex4-1.htm"/>
      <w:bookmarkStart w:id="28" w:name="ksea029813301ex41"/>
      <w:bookmarkEnd w:id="27"/>
      <w:bookmarkEnd w:id="28"/>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b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 Trust Indenture Act of 1939 and this Indenture</w:t>
      </w:r>
    </w:p>
    <w:p>
      <w:pPr>
        <w:pStyle w:val="TextBody"/>
        <w:bidi w:val="0"/>
        <w:spacing w:before="0" w:after="0"/>
        <w:ind w:left="0" w:right="0" w:hanging="0"/>
        <w:jc w:val="center"/>
        <w:rPr>
          <w:caps w:val="false"/>
          <w:smallCaps w:val="false"/>
        </w:rPr>
      </w:pPr>
      <w:r>
        <w:rPr>
          <w:caps w:val="false"/>
          <w:smallCaps w:val="false"/>
        </w:rPr>
        <w:t> </w:t>
      </w:r>
    </w:p>
    <w:tbl>
      <w:tblPr>
        <w:tblW w:w="3940" w:type="dxa"/>
        <w:jc w:val="left"/>
        <w:tblInd w:w="0" w:type="dxa"/>
        <w:tblLayout w:type="fixed"/>
        <w:tblCellMar>
          <w:top w:w="0" w:type="dxa"/>
          <w:left w:w="0" w:type="dxa"/>
          <w:bottom w:w="28" w:type="dxa"/>
          <w:right w:w="0" w:type="dxa"/>
        </w:tblCellMar>
      </w:tblPr>
      <w:tblGrid>
        <w:gridCol w:w="2360"/>
        <w:gridCol w:w="60"/>
        <w:gridCol w:w="1520"/>
      </w:tblGrid>
      <w:tr>
        <w:trPr/>
        <w:tc>
          <w:tcPr>
            <w:tcW w:w="2360" w:type="dxa"/>
            <w:tcBorders>
              <w:bottom w:val="single" w:sz="12" w:space="0" w:color="000000"/>
            </w:tcBorders>
            <w:vAlign w:val="center"/>
          </w:tcPr>
          <w:p>
            <w:pPr>
              <w:pStyle w:val="TableContents"/>
              <w:bidi w:val="0"/>
              <w:spacing w:before="0" w:after="283"/>
              <w:jc w:val="left"/>
              <w:rPr>
                <w:b/>
                <w:sz w:val="20"/>
              </w:rPr>
            </w:pPr>
            <w:r>
              <w:rPr>
                <w:b/>
                <w:sz w:val="20"/>
              </w:rPr>
              <w:t>Trust Indenture Act Section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12" w:space="0" w:color="000000"/>
            </w:tcBorders>
            <w:vAlign w:val="center"/>
          </w:tcPr>
          <w:p>
            <w:pPr>
              <w:pStyle w:val="TableContents"/>
              <w:bidi w:val="0"/>
              <w:spacing w:before="0" w:after="283"/>
              <w:jc w:val="left"/>
              <w:rPr>
                <w:b/>
                <w:sz w:val="20"/>
              </w:rPr>
            </w:pPr>
            <w:r>
              <w:rPr>
                <w:b/>
                <w:sz w:val="20"/>
              </w:rPr>
              <w:t>Indenture Section</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310(a)(1)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6.09</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6.09</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(a)(3)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(a)(5)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6.09</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6.08, 6.10</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311(a)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6.13</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6.13</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312(a)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7.01, 7.02</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7.02</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7.02</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7.03</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(b)(2)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7.03</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7.03</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7.03</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7.04</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1.04, 10.04</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1.02</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(c)(2)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1.02</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1.02</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6.01</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6.02</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6.01</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6.01</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5.14</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316(a)(last sentence)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1.06</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(a)(1)(A)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5.02, 5.12</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(a)(1)(B)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5.13</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5.08</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1.04</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317(a)(1)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5.03</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(a)(2)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5.04</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10.03</w:t>
            </w:r>
          </w:p>
        </w:tc>
      </w:tr>
      <w:tr>
        <w:trPr/>
        <w:tc>
          <w:tcPr>
            <w:tcW w:w="2360" w:type="dxa"/>
            <w:tcBorders/>
            <w:shd w:fill="FFFFFF" w:val="clear"/>
            <w:tcMar>
              <w:bottom w:w="0" w:type="dxa"/>
            </w:tcMar>
            <w:vAlign w:val="center"/>
          </w:tcPr>
          <w:p>
            <w:pPr>
              <w:pStyle w:val="TableContents"/>
              <w:bidi w:val="0"/>
              <w:spacing w:before="0" w:after="283"/>
              <w:jc w:val="left"/>
              <w:rPr>
                <w:sz w:val="20"/>
              </w:rPr>
            </w:pPr>
            <w:r>
              <w:rPr>
                <w:sz w:val="20"/>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left"/>
              <w:rPr>
                <w:sz w:val="20"/>
              </w:rPr>
            </w:pPr>
            <w:r>
              <w:rPr>
                <w:sz w:val="20"/>
              </w:rPr>
              <w:t>1.07</w:t>
            </w:r>
          </w:p>
        </w:tc>
      </w:tr>
      <w:tr>
        <w:trPr/>
        <w:tc>
          <w:tcPr>
            <w:tcW w:w="2360" w:type="dxa"/>
            <w:tcBorders/>
            <w:shd w:fill="CCEEFF" w:val="clear"/>
            <w:tcMar>
              <w:bottom w:w="0" w:type="dxa"/>
            </w:tcMar>
            <w:vAlign w:val="center"/>
          </w:tcPr>
          <w:p>
            <w:pPr>
              <w:pStyle w:val="TableContents"/>
              <w:bidi w:val="0"/>
              <w:spacing w:before="0" w:after="283"/>
              <w:jc w:val="left"/>
              <w:rPr>
                <w:sz w:val="20"/>
              </w:rPr>
            </w:pPr>
            <w:r>
              <w:rPr>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left"/>
              <w:rPr>
                <w:sz w:val="20"/>
              </w:rPr>
            </w:pPr>
            <w:r>
              <w:rPr>
                <w:sz w:val="20"/>
              </w:rPr>
              <w:t>Not Applicable</w:t>
            </w:r>
          </w:p>
        </w:tc>
      </w:tr>
      <w:tr>
        <w:trPr/>
        <w:tc>
          <w:tcPr>
            <w:tcW w:w="2360" w:type="dxa"/>
            <w:tcBorders/>
            <w:shd w:fill="FFFFFF" w:val="clear"/>
            <w:tcMar>
              <w:bottom w:w="0" w:type="dxa"/>
            </w:tcMar>
            <w:vAlign w:val="center"/>
          </w:tcPr>
          <w:p>
            <w:pPr>
              <w:pStyle w:val="TableContents"/>
              <w:bidi w:val="0"/>
              <w:spacing w:before="0" w:after="283"/>
              <w:jc w:val="both"/>
              <w:rPr>
                <w:sz w:val="20"/>
              </w:rPr>
            </w:pPr>
            <w:r>
              <w:rPr>
                <w:sz w:val="20"/>
              </w:rPr>
              <w:t>(c)</w:t>
            </w:r>
          </w:p>
        </w:tc>
        <w:tc>
          <w:tcPr>
            <w:tcW w:w="60" w:type="dxa"/>
            <w:tcBorders/>
            <w:shd w:fill="FFFFFF" w:val="clear"/>
            <w:tcMar>
              <w:bottom w:w="0" w:type="dxa"/>
            </w:tcMar>
            <w:vAlign w:val="center"/>
          </w:tcPr>
          <w:p>
            <w:pPr>
              <w:pStyle w:val="TableContents"/>
              <w:bidi w:val="0"/>
              <w:spacing w:before="0" w:after="283"/>
              <w:jc w:val="both"/>
              <w:rPr/>
            </w:pPr>
            <w:r>
              <w:rPr/>
              <w:t> </w:t>
            </w:r>
          </w:p>
        </w:tc>
        <w:tc>
          <w:tcPr>
            <w:tcW w:w="1520" w:type="dxa"/>
            <w:tcBorders/>
            <w:shd w:fill="FFFFFF" w:val="clear"/>
            <w:tcMar>
              <w:bottom w:w="0" w:type="dxa"/>
            </w:tcMar>
            <w:vAlign w:val="center"/>
          </w:tcPr>
          <w:p>
            <w:pPr>
              <w:pStyle w:val="TableContents"/>
              <w:bidi w:val="0"/>
              <w:spacing w:before="0" w:after="283"/>
              <w:jc w:val="both"/>
              <w:rPr>
                <w:sz w:val="20"/>
              </w:rPr>
            </w:pPr>
            <w:r>
              <w:rPr>
                <w:sz w:val="20"/>
              </w:rPr>
              <w:t>1.07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This reconciliation and tie shall not, for any purpose, be deemed to be part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0"/>
        <w:gridCol w:w="8789"/>
        <w:gridCol w:w="456"/>
      </w:tblGrid>
      <w:tr>
        <w:trPr/>
        <w:tc>
          <w:tcPr>
            <w:tcW w:w="960" w:type="dxa"/>
            <w:tcBorders/>
            <w:vAlign w:val="center"/>
          </w:tcPr>
          <w:p>
            <w:pPr>
              <w:pStyle w:val="TableContents"/>
              <w:bidi w:val="0"/>
              <w:spacing w:before="0" w:after="283"/>
              <w:jc w:val="left"/>
              <w:rPr/>
            </w:pPr>
            <w:r>
              <w:rPr/>
              <w:t> </w:t>
            </w:r>
          </w:p>
        </w:tc>
        <w:tc>
          <w:tcPr>
            <w:tcW w:w="8789" w:type="dxa"/>
            <w:tcBorders/>
            <w:vAlign w:val="center"/>
          </w:tcPr>
          <w:p>
            <w:pPr>
              <w:pStyle w:val="TableContents"/>
              <w:bidi w:val="0"/>
              <w:spacing w:before="0" w:after="283"/>
              <w:jc w:val="left"/>
              <w:rPr/>
            </w:pPr>
            <w:r>
              <w:rPr/>
              <w:t> </w:t>
            </w:r>
          </w:p>
        </w:tc>
        <w:tc>
          <w:tcPr>
            <w:tcW w:w="456"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60" w:type="dxa"/>
            <w:tcBorders/>
            <w:vAlign w:val="center"/>
          </w:tcPr>
          <w:p>
            <w:pPr>
              <w:pStyle w:val="TableContents"/>
              <w:bidi w:val="0"/>
              <w:spacing w:before="0" w:after="283"/>
              <w:jc w:val="left"/>
              <w:rPr/>
            </w:pPr>
            <w:r>
              <w:rPr/>
              <w:t> </w:t>
            </w:r>
          </w:p>
        </w:tc>
        <w:tc>
          <w:tcPr>
            <w:tcW w:w="8789"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center"/>
              <w:rPr/>
            </w:pPr>
            <w:r>
              <w:rPr/>
              <w:t> </w:t>
            </w:r>
          </w:p>
        </w:tc>
      </w:tr>
      <w:tr>
        <w:trPr/>
        <w:tc>
          <w:tcPr>
            <w:tcW w:w="9749" w:type="dxa"/>
            <w:gridSpan w:val="2"/>
            <w:tcBorders/>
            <w:shd w:fill="CCEEFF" w:val="clear"/>
            <w:vAlign w:val="center"/>
          </w:tcPr>
          <w:p>
            <w:pPr>
              <w:pStyle w:val="TableContents"/>
              <w:bidi w:val="0"/>
              <w:spacing w:before="0" w:after="283"/>
              <w:jc w:val="left"/>
              <w:rPr>
                <w:b/>
                <w:sz w:val="20"/>
              </w:rPr>
            </w:pPr>
            <w:r>
              <w:rPr>
                <w:b/>
                <w:sz w:val="20"/>
              </w:rPr>
              <w:t>ARTICLE I DEFINITIONS AND OTHER PROVISIONS OF GENERAL APPLICATION</w:t>
            </w:r>
          </w:p>
        </w:tc>
        <w:tc>
          <w:tcPr>
            <w:tcW w:w="456" w:type="dxa"/>
            <w:tcBorders/>
            <w:shd w:fill="CCEEFF" w:val="clear"/>
            <w:vAlign w:val="center"/>
          </w:tcPr>
          <w:p>
            <w:pPr>
              <w:pStyle w:val="TableContents"/>
              <w:bidi w:val="0"/>
              <w:spacing w:before="0" w:after="283"/>
              <w:ind w:left="0" w:right="0" w:hanging="0"/>
              <w:jc w:val="center"/>
              <w:rPr>
                <w:b/>
                <w:sz w:val="20"/>
              </w:rPr>
            </w:pPr>
            <w:r>
              <w:rPr>
                <w:b/>
                <w:sz w:val="20"/>
              </w:rPr>
              <w:t>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1.01</w:t>
            </w:r>
          </w:p>
        </w:tc>
        <w:tc>
          <w:tcPr>
            <w:tcW w:w="8789" w:type="dxa"/>
            <w:tcBorders/>
            <w:shd w:fill="FFFFFF" w:val="clear"/>
            <w:vAlign w:val="center"/>
          </w:tcPr>
          <w:p>
            <w:pPr>
              <w:pStyle w:val="TableContents"/>
              <w:bidi w:val="0"/>
              <w:spacing w:before="0" w:after="283"/>
              <w:jc w:val="left"/>
              <w:rPr>
                <w:sz w:val="20"/>
              </w:rPr>
            </w:pPr>
            <w:r>
              <w:rPr>
                <w:sz w:val="20"/>
              </w:rPr>
              <w:t>Definitions.</w:t>
            </w:r>
          </w:p>
        </w:tc>
        <w:tc>
          <w:tcPr>
            <w:tcW w:w="456" w:type="dxa"/>
            <w:tcBorders/>
            <w:shd w:fill="FFFFFF" w:val="clear"/>
            <w:vAlign w:val="center"/>
          </w:tcPr>
          <w:p>
            <w:pPr>
              <w:pStyle w:val="TableContents"/>
              <w:bidi w:val="0"/>
              <w:spacing w:before="0" w:after="283"/>
              <w:ind w:left="0" w:right="0" w:hanging="0"/>
              <w:jc w:val="center"/>
              <w:rPr>
                <w:sz w:val="20"/>
              </w:rPr>
            </w:pPr>
            <w:r>
              <w:rPr>
                <w:sz w:val="20"/>
              </w:rPr>
              <w:t>1</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1.02</w:t>
            </w:r>
          </w:p>
        </w:tc>
        <w:tc>
          <w:tcPr>
            <w:tcW w:w="8789" w:type="dxa"/>
            <w:tcBorders/>
            <w:shd w:fill="CCEEFF" w:val="clear"/>
            <w:vAlign w:val="center"/>
          </w:tcPr>
          <w:p>
            <w:pPr>
              <w:pStyle w:val="TableContents"/>
              <w:bidi w:val="0"/>
              <w:spacing w:before="0" w:after="283"/>
              <w:jc w:val="left"/>
              <w:rPr>
                <w:sz w:val="20"/>
              </w:rPr>
            </w:pPr>
            <w:r>
              <w:rPr>
                <w:sz w:val="20"/>
              </w:rPr>
              <w:t>Compliance Certificates and Opinions.</w:t>
            </w:r>
          </w:p>
        </w:tc>
        <w:tc>
          <w:tcPr>
            <w:tcW w:w="456" w:type="dxa"/>
            <w:tcBorders/>
            <w:shd w:fill="CCEEFF" w:val="clear"/>
            <w:vAlign w:val="center"/>
          </w:tcPr>
          <w:p>
            <w:pPr>
              <w:pStyle w:val="TableContents"/>
              <w:bidi w:val="0"/>
              <w:spacing w:before="0" w:after="283"/>
              <w:ind w:left="0" w:right="0" w:hanging="0"/>
              <w:jc w:val="center"/>
              <w:rPr/>
            </w:pPr>
            <w:r>
              <w:rPr/>
              <w:t>7</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1.03</w:t>
            </w:r>
          </w:p>
        </w:tc>
        <w:tc>
          <w:tcPr>
            <w:tcW w:w="8789" w:type="dxa"/>
            <w:tcBorders/>
            <w:shd w:fill="FFFFFF" w:val="clear"/>
            <w:vAlign w:val="center"/>
          </w:tcPr>
          <w:p>
            <w:pPr>
              <w:pStyle w:val="TableContents"/>
              <w:bidi w:val="0"/>
              <w:spacing w:before="0" w:after="283"/>
              <w:jc w:val="left"/>
              <w:rPr>
                <w:sz w:val="20"/>
              </w:rPr>
            </w:pPr>
            <w:r>
              <w:rPr>
                <w:sz w:val="20"/>
              </w:rPr>
              <w:t>Form of Documents Delivered to Trustee.</w:t>
            </w:r>
          </w:p>
        </w:tc>
        <w:tc>
          <w:tcPr>
            <w:tcW w:w="456" w:type="dxa"/>
            <w:tcBorders/>
            <w:shd w:fill="FFFFFF" w:val="clear"/>
            <w:vAlign w:val="center"/>
          </w:tcPr>
          <w:p>
            <w:pPr>
              <w:pStyle w:val="TableContents"/>
              <w:bidi w:val="0"/>
              <w:spacing w:before="0" w:after="283"/>
              <w:ind w:left="0" w:right="0" w:hanging="0"/>
              <w:jc w:val="center"/>
              <w:rPr>
                <w:sz w:val="20"/>
              </w:rPr>
            </w:pPr>
            <w:r>
              <w:rPr>
                <w:sz w:val="20"/>
              </w:rPr>
              <w:t>7</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1.04</w:t>
            </w:r>
          </w:p>
        </w:tc>
        <w:tc>
          <w:tcPr>
            <w:tcW w:w="8789" w:type="dxa"/>
            <w:tcBorders/>
            <w:shd w:fill="CCEEFF" w:val="clear"/>
            <w:vAlign w:val="center"/>
          </w:tcPr>
          <w:p>
            <w:pPr>
              <w:pStyle w:val="TableContents"/>
              <w:bidi w:val="0"/>
              <w:spacing w:before="0" w:after="283"/>
              <w:jc w:val="left"/>
              <w:rPr>
                <w:sz w:val="20"/>
              </w:rPr>
            </w:pPr>
            <w:r>
              <w:rPr>
                <w:sz w:val="20"/>
              </w:rPr>
              <w:t>Acts of Holders; Record Dates.</w:t>
            </w:r>
          </w:p>
        </w:tc>
        <w:tc>
          <w:tcPr>
            <w:tcW w:w="456" w:type="dxa"/>
            <w:tcBorders/>
            <w:shd w:fill="CCEEFF" w:val="clear"/>
            <w:vAlign w:val="center"/>
          </w:tcPr>
          <w:p>
            <w:pPr>
              <w:pStyle w:val="TableContents"/>
              <w:bidi w:val="0"/>
              <w:spacing w:before="0" w:after="283"/>
              <w:ind w:left="0" w:right="0" w:hanging="0"/>
              <w:jc w:val="center"/>
              <w:rPr/>
            </w:pPr>
            <w:r>
              <w:rPr/>
              <w:t>8</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1.05</w:t>
            </w:r>
          </w:p>
        </w:tc>
        <w:tc>
          <w:tcPr>
            <w:tcW w:w="8789" w:type="dxa"/>
            <w:tcBorders/>
            <w:shd w:fill="FFFFFF" w:val="clear"/>
            <w:vAlign w:val="center"/>
          </w:tcPr>
          <w:p>
            <w:pPr>
              <w:pStyle w:val="TableContents"/>
              <w:bidi w:val="0"/>
              <w:spacing w:before="0" w:after="283"/>
              <w:jc w:val="left"/>
              <w:rPr>
                <w:sz w:val="20"/>
              </w:rPr>
            </w:pPr>
            <w:r>
              <w:rPr>
                <w:sz w:val="20"/>
              </w:rPr>
              <w:t>Notices, Etc., to Trustee, the Company.</w:t>
            </w:r>
          </w:p>
        </w:tc>
        <w:tc>
          <w:tcPr>
            <w:tcW w:w="456" w:type="dxa"/>
            <w:tcBorders/>
            <w:shd w:fill="FFFFFF" w:val="clear"/>
            <w:vAlign w:val="center"/>
          </w:tcPr>
          <w:p>
            <w:pPr>
              <w:pStyle w:val="TableContents"/>
              <w:bidi w:val="0"/>
              <w:spacing w:before="0" w:after="283"/>
              <w:ind w:left="0" w:right="0" w:hanging="0"/>
              <w:jc w:val="center"/>
              <w:rPr>
                <w:sz w:val="20"/>
              </w:rPr>
            </w:pPr>
            <w:r>
              <w:rPr>
                <w:sz w:val="20"/>
              </w:rPr>
              <w:t>9</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1.06</w:t>
            </w:r>
          </w:p>
        </w:tc>
        <w:tc>
          <w:tcPr>
            <w:tcW w:w="8789" w:type="dxa"/>
            <w:tcBorders/>
            <w:shd w:fill="CCEEFF" w:val="clear"/>
            <w:vAlign w:val="center"/>
          </w:tcPr>
          <w:p>
            <w:pPr>
              <w:pStyle w:val="TableContents"/>
              <w:bidi w:val="0"/>
              <w:spacing w:before="0" w:after="283"/>
              <w:jc w:val="left"/>
              <w:rPr>
                <w:sz w:val="20"/>
              </w:rPr>
            </w:pPr>
            <w:r>
              <w:rPr>
                <w:sz w:val="20"/>
              </w:rPr>
              <w:t>Notice to Holders; Waiver.</w:t>
            </w:r>
          </w:p>
        </w:tc>
        <w:tc>
          <w:tcPr>
            <w:tcW w:w="456" w:type="dxa"/>
            <w:tcBorders/>
            <w:shd w:fill="CCEEFF" w:val="clear"/>
            <w:vAlign w:val="center"/>
          </w:tcPr>
          <w:p>
            <w:pPr>
              <w:pStyle w:val="TableContents"/>
              <w:bidi w:val="0"/>
              <w:spacing w:before="0" w:after="283"/>
              <w:ind w:left="0" w:right="0" w:hanging="0"/>
              <w:jc w:val="center"/>
              <w:rPr/>
            </w:pPr>
            <w:r>
              <w:rPr/>
              <w:t>10</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1.07</w:t>
            </w:r>
          </w:p>
        </w:tc>
        <w:tc>
          <w:tcPr>
            <w:tcW w:w="8789" w:type="dxa"/>
            <w:tcBorders/>
            <w:shd w:fill="FFFFFF" w:val="clear"/>
            <w:vAlign w:val="center"/>
          </w:tcPr>
          <w:p>
            <w:pPr>
              <w:pStyle w:val="TableContents"/>
              <w:bidi w:val="0"/>
              <w:spacing w:before="0" w:after="283"/>
              <w:jc w:val="left"/>
              <w:rPr>
                <w:sz w:val="20"/>
              </w:rPr>
            </w:pPr>
            <w:r>
              <w:rPr>
                <w:sz w:val="20"/>
              </w:rPr>
              <w:t>Conflict with Trust Indenture Act.</w:t>
            </w:r>
          </w:p>
        </w:tc>
        <w:tc>
          <w:tcPr>
            <w:tcW w:w="456" w:type="dxa"/>
            <w:tcBorders/>
            <w:shd w:fill="FFFFFF" w:val="clear"/>
            <w:vAlign w:val="center"/>
          </w:tcPr>
          <w:p>
            <w:pPr>
              <w:pStyle w:val="TableContents"/>
              <w:bidi w:val="0"/>
              <w:spacing w:before="0" w:after="283"/>
              <w:ind w:left="0" w:right="0" w:hanging="0"/>
              <w:jc w:val="center"/>
              <w:rPr/>
            </w:pPr>
            <w:r>
              <w:rPr/>
              <w:t>10</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1.08</w:t>
            </w:r>
          </w:p>
        </w:tc>
        <w:tc>
          <w:tcPr>
            <w:tcW w:w="8789" w:type="dxa"/>
            <w:tcBorders/>
            <w:shd w:fill="CCEEFF" w:val="clear"/>
            <w:vAlign w:val="center"/>
          </w:tcPr>
          <w:p>
            <w:pPr>
              <w:pStyle w:val="TableContents"/>
              <w:bidi w:val="0"/>
              <w:spacing w:before="0" w:after="283"/>
              <w:jc w:val="left"/>
              <w:rPr>
                <w:sz w:val="20"/>
              </w:rPr>
            </w:pPr>
            <w:r>
              <w:rPr>
                <w:sz w:val="20"/>
              </w:rPr>
              <w:t>Effect of Headings and Table of Contents.</w:t>
            </w:r>
          </w:p>
        </w:tc>
        <w:tc>
          <w:tcPr>
            <w:tcW w:w="456" w:type="dxa"/>
            <w:tcBorders/>
            <w:shd w:fill="CCEE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1.09</w:t>
            </w:r>
          </w:p>
        </w:tc>
        <w:tc>
          <w:tcPr>
            <w:tcW w:w="8789" w:type="dxa"/>
            <w:tcBorders/>
            <w:shd w:fill="FFFFFF" w:val="clear"/>
            <w:vAlign w:val="center"/>
          </w:tcPr>
          <w:p>
            <w:pPr>
              <w:pStyle w:val="TableContents"/>
              <w:bidi w:val="0"/>
              <w:spacing w:before="0" w:after="283"/>
              <w:jc w:val="left"/>
              <w:rPr>
                <w:sz w:val="20"/>
              </w:rPr>
            </w:pPr>
            <w:r>
              <w:rPr>
                <w:sz w:val="20"/>
              </w:rPr>
              <w:t>Successors and Assigns.</w:t>
            </w:r>
          </w:p>
        </w:tc>
        <w:tc>
          <w:tcPr>
            <w:tcW w:w="456" w:type="dxa"/>
            <w:tcBorders/>
            <w:shd w:fill="FFFF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1.10</w:t>
            </w:r>
          </w:p>
        </w:tc>
        <w:tc>
          <w:tcPr>
            <w:tcW w:w="8789" w:type="dxa"/>
            <w:tcBorders/>
            <w:shd w:fill="CCEEFF" w:val="clear"/>
            <w:vAlign w:val="center"/>
          </w:tcPr>
          <w:p>
            <w:pPr>
              <w:pStyle w:val="TableContents"/>
              <w:bidi w:val="0"/>
              <w:spacing w:before="0" w:after="283"/>
              <w:jc w:val="left"/>
              <w:rPr>
                <w:sz w:val="20"/>
              </w:rPr>
            </w:pPr>
            <w:r>
              <w:rPr>
                <w:sz w:val="20"/>
              </w:rPr>
              <w:t>Separability Clause.</w:t>
            </w:r>
          </w:p>
        </w:tc>
        <w:tc>
          <w:tcPr>
            <w:tcW w:w="456" w:type="dxa"/>
            <w:tcBorders/>
            <w:shd w:fill="CCEE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1.11</w:t>
            </w:r>
          </w:p>
        </w:tc>
        <w:tc>
          <w:tcPr>
            <w:tcW w:w="8789" w:type="dxa"/>
            <w:tcBorders/>
            <w:shd w:fill="FFFFFF" w:val="clear"/>
            <w:vAlign w:val="center"/>
          </w:tcPr>
          <w:p>
            <w:pPr>
              <w:pStyle w:val="TableContents"/>
              <w:bidi w:val="0"/>
              <w:spacing w:before="0" w:after="283"/>
              <w:jc w:val="left"/>
              <w:rPr>
                <w:sz w:val="20"/>
              </w:rPr>
            </w:pPr>
            <w:r>
              <w:rPr>
                <w:sz w:val="20"/>
              </w:rPr>
              <w:t>Benefits of Indenture.</w:t>
            </w:r>
          </w:p>
        </w:tc>
        <w:tc>
          <w:tcPr>
            <w:tcW w:w="456" w:type="dxa"/>
            <w:tcBorders/>
            <w:shd w:fill="FFFF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1.12</w:t>
            </w:r>
          </w:p>
        </w:tc>
        <w:tc>
          <w:tcPr>
            <w:tcW w:w="8789" w:type="dxa"/>
            <w:tcBorders/>
            <w:shd w:fill="CCEEFF" w:val="clear"/>
            <w:vAlign w:val="center"/>
          </w:tcPr>
          <w:p>
            <w:pPr>
              <w:pStyle w:val="TableContents"/>
              <w:bidi w:val="0"/>
              <w:spacing w:before="0" w:after="283"/>
              <w:jc w:val="left"/>
              <w:rPr>
                <w:sz w:val="20"/>
              </w:rPr>
            </w:pPr>
            <w:r>
              <w:rPr>
                <w:sz w:val="20"/>
              </w:rPr>
              <w:t>Governing Law.</w:t>
            </w:r>
          </w:p>
        </w:tc>
        <w:tc>
          <w:tcPr>
            <w:tcW w:w="456" w:type="dxa"/>
            <w:tcBorders/>
            <w:shd w:fill="CCEE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1.13</w:t>
            </w:r>
          </w:p>
        </w:tc>
        <w:tc>
          <w:tcPr>
            <w:tcW w:w="8789" w:type="dxa"/>
            <w:tcBorders/>
            <w:shd w:fill="FFFFFF" w:val="clear"/>
            <w:vAlign w:val="center"/>
          </w:tcPr>
          <w:p>
            <w:pPr>
              <w:pStyle w:val="TableContents"/>
              <w:bidi w:val="0"/>
              <w:spacing w:before="0" w:after="283"/>
              <w:jc w:val="left"/>
              <w:rPr>
                <w:sz w:val="20"/>
              </w:rPr>
            </w:pPr>
            <w:r>
              <w:rPr>
                <w:sz w:val="20"/>
              </w:rPr>
              <w:t>Legal Holidays.</w:t>
            </w:r>
          </w:p>
        </w:tc>
        <w:tc>
          <w:tcPr>
            <w:tcW w:w="456" w:type="dxa"/>
            <w:tcBorders/>
            <w:shd w:fill="FFFF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1.14</w:t>
            </w:r>
          </w:p>
        </w:tc>
        <w:tc>
          <w:tcPr>
            <w:tcW w:w="8789" w:type="dxa"/>
            <w:tcBorders/>
            <w:shd w:fill="CCEEFF" w:val="clear"/>
            <w:vAlign w:val="center"/>
          </w:tcPr>
          <w:p>
            <w:pPr>
              <w:pStyle w:val="TableContents"/>
              <w:bidi w:val="0"/>
              <w:spacing w:before="0" w:after="283"/>
              <w:jc w:val="left"/>
              <w:rPr>
                <w:sz w:val="20"/>
              </w:rPr>
            </w:pPr>
            <w:r>
              <w:rPr>
                <w:sz w:val="20"/>
              </w:rPr>
              <w:t>Counterparts; Signatures.</w:t>
            </w:r>
          </w:p>
        </w:tc>
        <w:tc>
          <w:tcPr>
            <w:tcW w:w="456" w:type="dxa"/>
            <w:tcBorders/>
            <w:shd w:fill="CCEEFF" w:val="clear"/>
            <w:vAlign w:val="center"/>
          </w:tcPr>
          <w:p>
            <w:pPr>
              <w:pStyle w:val="TableContents"/>
              <w:bidi w:val="0"/>
              <w:spacing w:before="0" w:after="283"/>
              <w:ind w:left="0" w:right="0" w:hanging="0"/>
              <w:jc w:val="center"/>
              <w:rPr>
                <w:sz w:val="20"/>
              </w:rPr>
            </w:pPr>
            <w:r>
              <w:rPr>
                <w:sz w:val="20"/>
              </w:rPr>
              <w:t>11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1.15</w:t>
            </w:r>
          </w:p>
        </w:tc>
        <w:tc>
          <w:tcPr>
            <w:tcW w:w="8789" w:type="dxa"/>
            <w:tcBorders/>
            <w:shd w:fill="FFFFFF" w:val="clear"/>
            <w:vAlign w:val="center"/>
          </w:tcPr>
          <w:p>
            <w:pPr>
              <w:pStyle w:val="TableContents"/>
              <w:bidi w:val="0"/>
              <w:spacing w:before="0" w:after="283"/>
              <w:jc w:val="left"/>
              <w:rPr>
                <w:sz w:val="20"/>
              </w:rPr>
            </w:pPr>
            <w:r>
              <w:rPr>
                <w:sz w:val="20"/>
              </w:rPr>
              <w:t>Incorporators, Equityholders, Directors, Members, Managers, Officers and Employees of the Company Exempt from Individual Liability.</w:t>
            </w:r>
          </w:p>
        </w:tc>
        <w:tc>
          <w:tcPr>
            <w:tcW w:w="456" w:type="dxa"/>
            <w:tcBorders/>
            <w:shd w:fill="FFFFFF" w:val="clear"/>
            <w:vAlign w:val="center"/>
          </w:tcPr>
          <w:p>
            <w:pPr>
              <w:pStyle w:val="TableContents"/>
              <w:bidi w:val="0"/>
              <w:spacing w:before="0" w:after="283"/>
              <w:ind w:left="0" w:right="0" w:hanging="0"/>
              <w:jc w:val="center"/>
              <w:rPr>
                <w:sz w:val="20"/>
              </w:rPr>
            </w:pPr>
            <w:r>
              <w:rPr>
                <w:sz w:val="20"/>
              </w:rPr>
              <w:t>12</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1.16</w:t>
            </w:r>
          </w:p>
        </w:tc>
        <w:tc>
          <w:tcPr>
            <w:tcW w:w="8789" w:type="dxa"/>
            <w:tcBorders/>
            <w:shd w:fill="CCEEFF" w:val="clear"/>
            <w:vAlign w:val="center"/>
          </w:tcPr>
          <w:p>
            <w:pPr>
              <w:pStyle w:val="TableContents"/>
              <w:bidi w:val="0"/>
              <w:spacing w:before="0" w:after="283"/>
              <w:jc w:val="left"/>
              <w:rPr>
                <w:sz w:val="20"/>
              </w:rPr>
            </w:pPr>
            <w:r>
              <w:rPr>
                <w:sz w:val="20"/>
              </w:rPr>
              <w:t>WAIVER OF JURY TRIAL.</w:t>
            </w:r>
          </w:p>
        </w:tc>
        <w:tc>
          <w:tcPr>
            <w:tcW w:w="456" w:type="dxa"/>
            <w:tcBorders/>
            <w:shd w:fill="CCEEFF" w:val="clear"/>
            <w:vAlign w:val="center"/>
          </w:tcPr>
          <w:p>
            <w:pPr>
              <w:pStyle w:val="TableContents"/>
              <w:bidi w:val="0"/>
              <w:spacing w:before="0" w:after="283"/>
              <w:ind w:left="0" w:right="0" w:hanging="0"/>
              <w:jc w:val="center"/>
              <w:rPr>
                <w:sz w:val="20"/>
              </w:rPr>
            </w:pPr>
            <w:r>
              <w:rPr>
                <w:sz w:val="20"/>
              </w:rPr>
              <w:t>12</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1.17</w:t>
            </w:r>
          </w:p>
        </w:tc>
        <w:tc>
          <w:tcPr>
            <w:tcW w:w="8789" w:type="dxa"/>
            <w:tcBorders/>
            <w:shd w:fill="FFFFFF" w:val="clear"/>
            <w:vAlign w:val="center"/>
          </w:tcPr>
          <w:p>
            <w:pPr>
              <w:pStyle w:val="TableContents"/>
              <w:bidi w:val="0"/>
              <w:spacing w:before="0" w:after="283"/>
              <w:jc w:val="left"/>
              <w:rPr>
                <w:sz w:val="20"/>
              </w:rPr>
            </w:pPr>
            <w:r>
              <w:rPr>
                <w:sz w:val="20"/>
              </w:rPr>
              <w:t>U.S.A. Patriot Act.</w:t>
            </w:r>
          </w:p>
        </w:tc>
        <w:tc>
          <w:tcPr>
            <w:tcW w:w="456" w:type="dxa"/>
            <w:tcBorders/>
            <w:shd w:fill="FFFFFF" w:val="clear"/>
            <w:vAlign w:val="center"/>
          </w:tcPr>
          <w:p>
            <w:pPr>
              <w:pStyle w:val="TableContents"/>
              <w:bidi w:val="0"/>
              <w:spacing w:before="0" w:after="283"/>
              <w:ind w:left="0" w:right="0" w:hanging="0"/>
              <w:jc w:val="center"/>
              <w:rPr>
                <w:sz w:val="20"/>
              </w:rPr>
            </w:pPr>
            <w:r>
              <w:rPr>
                <w:sz w:val="20"/>
              </w:rPr>
              <w:t>12</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1.18</w:t>
            </w:r>
          </w:p>
        </w:tc>
        <w:tc>
          <w:tcPr>
            <w:tcW w:w="8789" w:type="dxa"/>
            <w:tcBorders/>
            <w:shd w:fill="CCEEFF" w:val="clear"/>
            <w:vAlign w:val="center"/>
          </w:tcPr>
          <w:p>
            <w:pPr>
              <w:pStyle w:val="TableContents"/>
              <w:bidi w:val="0"/>
              <w:spacing w:before="0" w:after="283"/>
              <w:jc w:val="left"/>
              <w:rPr>
                <w:sz w:val="20"/>
              </w:rPr>
            </w:pPr>
            <w:r>
              <w:rPr>
                <w:sz w:val="20"/>
              </w:rPr>
              <w:t>Jurisdiction; Consent to Service of Process.</w:t>
            </w:r>
          </w:p>
        </w:tc>
        <w:tc>
          <w:tcPr>
            <w:tcW w:w="456" w:type="dxa"/>
            <w:tcBorders/>
            <w:shd w:fill="CCEEFF" w:val="clear"/>
            <w:vAlign w:val="center"/>
          </w:tcPr>
          <w:p>
            <w:pPr>
              <w:pStyle w:val="TableContents"/>
              <w:bidi w:val="0"/>
              <w:spacing w:before="0" w:after="283"/>
              <w:ind w:left="0" w:right="0" w:hanging="0"/>
              <w:jc w:val="center"/>
              <w:rPr>
                <w:sz w:val="20"/>
              </w:rPr>
            </w:pPr>
            <w:r>
              <w:rPr>
                <w:sz w:val="20"/>
              </w:rPr>
              <w:t>12</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1.19</w:t>
            </w:r>
          </w:p>
        </w:tc>
        <w:tc>
          <w:tcPr>
            <w:tcW w:w="8789" w:type="dxa"/>
            <w:tcBorders/>
            <w:shd w:fill="FFFFFF" w:val="clear"/>
            <w:vAlign w:val="center"/>
          </w:tcPr>
          <w:p>
            <w:pPr>
              <w:pStyle w:val="TableContents"/>
              <w:bidi w:val="0"/>
              <w:spacing w:before="0" w:after="283"/>
              <w:jc w:val="left"/>
              <w:rPr>
                <w:sz w:val="20"/>
              </w:rPr>
            </w:pPr>
            <w:r>
              <w:rPr>
                <w:sz w:val="20"/>
              </w:rPr>
              <w:t>Calculations in Respect of the Securities.</w:t>
            </w:r>
          </w:p>
        </w:tc>
        <w:tc>
          <w:tcPr>
            <w:tcW w:w="456" w:type="dxa"/>
            <w:tcBorders/>
            <w:shd w:fill="FFFFFF" w:val="clear"/>
            <w:vAlign w:val="center"/>
          </w:tcPr>
          <w:p>
            <w:pPr>
              <w:pStyle w:val="TableContents"/>
              <w:bidi w:val="0"/>
              <w:spacing w:before="0" w:after="283"/>
              <w:jc w:val="center"/>
              <w:rPr>
                <w:sz w:val="20"/>
              </w:rPr>
            </w:pPr>
            <w:r>
              <w:rPr>
                <w:sz w:val="20"/>
              </w:rPr>
              <w:t>13</w:t>
            </w:r>
          </w:p>
        </w:tc>
      </w:tr>
      <w:tr>
        <w:trPr/>
        <w:tc>
          <w:tcPr>
            <w:tcW w:w="960" w:type="dxa"/>
            <w:tcBorders/>
            <w:shd w:fill="CCEEFF" w:val="clear"/>
            <w:vAlign w:val="center"/>
          </w:tcPr>
          <w:p>
            <w:pPr>
              <w:pStyle w:val="TableContents"/>
              <w:bidi w:val="0"/>
              <w:spacing w:before="0" w:after="283"/>
              <w:jc w:val="left"/>
              <w:rPr/>
            </w:pPr>
            <w:r>
              <w:rPr/>
              <w:t> </w:t>
            </w:r>
          </w:p>
        </w:tc>
        <w:tc>
          <w:tcPr>
            <w:tcW w:w="8789"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9749" w:type="dxa"/>
            <w:gridSpan w:val="2"/>
            <w:tcBorders/>
            <w:shd w:fill="FFFFFF" w:val="clear"/>
            <w:vAlign w:val="center"/>
          </w:tcPr>
          <w:p>
            <w:pPr>
              <w:pStyle w:val="TableContents"/>
              <w:bidi w:val="0"/>
              <w:spacing w:before="0" w:after="283"/>
              <w:jc w:val="left"/>
              <w:rPr>
                <w:b/>
                <w:sz w:val="20"/>
              </w:rPr>
            </w:pPr>
            <w:r>
              <w:rPr>
                <w:b/>
                <w:sz w:val="20"/>
              </w:rPr>
              <w:t>ARTICLE II SECURITY FORM</w:t>
            </w:r>
          </w:p>
        </w:tc>
        <w:tc>
          <w:tcPr>
            <w:tcW w:w="456" w:type="dxa"/>
            <w:tcBorders/>
            <w:shd w:fill="FFFFFF" w:val="clear"/>
            <w:vAlign w:val="center"/>
          </w:tcPr>
          <w:p>
            <w:pPr>
              <w:pStyle w:val="TableContents"/>
              <w:bidi w:val="0"/>
              <w:spacing w:before="0" w:after="283"/>
              <w:ind w:left="0" w:right="0" w:hanging="0"/>
              <w:jc w:val="center"/>
              <w:rPr>
                <w:b/>
                <w:sz w:val="20"/>
              </w:rPr>
            </w:pPr>
            <w:r>
              <w:rPr>
                <w:b/>
                <w:sz w:val="20"/>
              </w:rPr>
              <w:t>13</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2.01</w:t>
            </w:r>
          </w:p>
        </w:tc>
        <w:tc>
          <w:tcPr>
            <w:tcW w:w="8789" w:type="dxa"/>
            <w:tcBorders/>
            <w:shd w:fill="CCEEFF" w:val="clear"/>
            <w:vAlign w:val="center"/>
          </w:tcPr>
          <w:p>
            <w:pPr>
              <w:pStyle w:val="TableContents"/>
              <w:bidi w:val="0"/>
              <w:spacing w:before="0" w:after="283"/>
              <w:jc w:val="left"/>
              <w:rPr>
                <w:sz w:val="20"/>
              </w:rPr>
            </w:pPr>
            <w:r>
              <w:rPr>
                <w:sz w:val="20"/>
              </w:rPr>
              <w:t>Forms Generally.</w:t>
            </w:r>
          </w:p>
        </w:tc>
        <w:tc>
          <w:tcPr>
            <w:tcW w:w="456" w:type="dxa"/>
            <w:tcBorders/>
            <w:shd w:fill="CCEEFF" w:val="clear"/>
            <w:vAlign w:val="center"/>
          </w:tcPr>
          <w:p>
            <w:pPr>
              <w:pStyle w:val="TableContents"/>
              <w:bidi w:val="0"/>
              <w:spacing w:before="0" w:after="283"/>
              <w:ind w:left="0" w:right="0" w:hanging="0"/>
              <w:jc w:val="center"/>
              <w:rPr>
                <w:sz w:val="20"/>
              </w:rPr>
            </w:pPr>
            <w:r>
              <w:rPr>
                <w:sz w:val="20"/>
              </w:rPr>
              <w:t>13</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2.02</w:t>
            </w:r>
          </w:p>
        </w:tc>
        <w:tc>
          <w:tcPr>
            <w:tcW w:w="8789" w:type="dxa"/>
            <w:tcBorders/>
            <w:shd w:fill="FFFFFF" w:val="clear"/>
            <w:vAlign w:val="center"/>
          </w:tcPr>
          <w:p>
            <w:pPr>
              <w:pStyle w:val="TableContents"/>
              <w:bidi w:val="0"/>
              <w:spacing w:before="0" w:after="283"/>
              <w:jc w:val="left"/>
              <w:rPr>
                <w:sz w:val="20"/>
              </w:rPr>
            </w:pPr>
            <w:r>
              <w:rPr>
                <w:sz w:val="20"/>
              </w:rPr>
              <w:t>Form of Legend for Global Securities.</w:t>
            </w:r>
          </w:p>
        </w:tc>
        <w:tc>
          <w:tcPr>
            <w:tcW w:w="456" w:type="dxa"/>
            <w:tcBorders/>
            <w:shd w:fill="FFFFFF" w:val="clear"/>
            <w:vAlign w:val="center"/>
          </w:tcPr>
          <w:p>
            <w:pPr>
              <w:pStyle w:val="TableContents"/>
              <w:bidi w:val="0"/>
              <w:spacing w:before="0" w:after="283"/>
              <w:ind w:left="0" w:right="0" w:hanging="0"/>
              <w:jc w:val="center"/>
              <w:rPr>
                <w:sz w:val="20"/>
              </w:rPr>
            </w:pPr>
            <w:r>
              <w:rPr>
                <w:sz w:val="20"/>
              </w:rPr>
              <w:t>14</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2.03</w:t>
            </w:r>
          </w:p>
        </w:tc>
        <w:tc>
          <w:tcPr>
            <w:tcW w:w="8789" w:type="dxa"/>
            <w:tcBorders/>
            <w:shd w:fill="CCEEFF" w:val="clear"/>
            <w:vAlign w:val="center"/>
          </w:tcPr>
          <w:p>
            <w:pPr>
              <w:pStyle w:val="TableContents"/>
              <w:bidi w:val="0"/>
              <w:spacing w:before="0" w:after="283"/>
              <w:jc w:val="left"/>
              <w:rPr>
                <w:sz w:val="20"/>
              </w:rPr>
            </w:pPr>
            <w:r>
              <w:rPr>
                <w:sz w:val="20"/>
              </w:rPr>
              <w:t>Form of Trustee’s Certificate of Authentication.</w:t>
            </w:r>
          </w:p>
        </w:tc>
        <w:tc>
          <w:tcPr>
            <w:tcW w:w="456" w:type="dxa"/>
            <w:tcBorders/>
            <w:shd w:fill="CCEEFF" w:val="clear"/>
            <w:vAlign w:val="center"/>
          </w:tcPr>
          <w:p>
            <w:pPr>
              <w:pStyle w:val="TableContents"/>
              <w:bidi w:val="0"/>
              <w:spacing w:before="0" w:after="283"/>
              <w:jc w:val="center"/>
              <w:rPr>
                <w:sz w:val="20"/>
              </w:rPr>
            </w:pPr>
            <w:r>
              <w:rPr>
                <w:sz w:val="20"/>
              </w:rPr>
              <w:t>14</w:t>
            </w:r>
          </w:p>
        </w:tc>
      </w:tr>
      <w:tr>
        <w:trPr/>
        <w:tc>
          <w:tcPr>
            <w:tcW w:w="960" w:type="dxa"/>
            <w:tcBorders/>
            <w:shd w:fill="FFFFFF" w:val="clear"/>
            <w:vAlign w:val="center"/>
          </w:tcPr>
          <w:p>
            <w:pPr>
              <w:pStyle w:val="TableContents"/>
              <w:bidi w:val="0"/>
              <w:spacing w:before="0" w:after="283"/>
              <w:jc w:val="left"/>
              <w:rPr/>
            </w:pPr>
            <w:r>
              <w:rPr/>
              <w:t> </w:t>
            </w:r>
          </w:p>
        </w:tc>
        <w:tc>
          <w:tcPr>
            <w:tcW w:w="8789"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9749" w:type="dxa"/>
            <w:gridSpan w:val="2"/>
            <w:tcBorders/>
            <w:shd w:fill="CCEEFF" w:val="clear"/>
            <w:vAlign w:val="center"/>
          </w:tcPr>
          <w:p>
            <w:pPr>
              <w:pStyle w:val="TableContents"/>
              <w:bidi w:val="0"/>
              <w:spacing w:before="0" w:after="283"/>
              <w:jc w:val="left"/>
              <w:rPr>
                <w:b/>
                <w:sz w:val="20"/>
              </w:rPr>
            </w:pPr>
            <w:r>
              <w:rPr>
                <w:b/>
                <w:sz w:val="20"/>
              </w:rPr>
              <w:t>ARTICLE III THE SECURITIES</w:t>
            </w:r>
          </w:p>
        </w:tc>
        <w:tc>
          <w:tcPr>
            <w:tcW w:w="456" w:type="dxa"/>
            <w:tcBorders/>
            <w:shd w:fill="CCEEFF" w:val="clear"/>
            <w:vAlign w:val="center"/>
          </w:tcPr>
          <w:p>
            <w:pPr>
              <w:pStyle w:val="TableContents"/>
              <w:bidi w:val="0"/>
              <w:spacing w:before="0" w:after="283"/>
              <w:ind w:left="0" w:right="0" w:hanging="0"/>
              <w:jc w:val="center"/>
              <w:rPr>
                <w:b/>
                <w:sz w:val="20"/>
              </w:rPr>
            </w:pPr>
            <w:r>
              <w:rPr>
                <w:b/>
                <w:sz w:val="20"/>
              </w:rPr>
              <w:t>16</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3.01</w:t>
            </w:r>
          </w:p>
        </w:tc>
        <w:tc>
          <w:tcPr>
            <w:tcW w:w="8789" w:type="dxa"/>
            <w:tcBorders/>
            <w:shd w:fill="FFFFFF" w:val="clear"/>
            <w:vAlign w:val="center"/>
          </w:tcPr>
          <w:p>
            <w:pPr>
              <w:pStyle w:val="TableContents"/>
              <w:bidi w:val="0"/>
              <w:spacing w:before="0" w:after="283"/>
              <w:jc w:val="left"/>
              <w:rPr>
                <w:sz w:val="20"/>
              </w:rPr>
            </w:pPr>
            <w:r>
              <w:rPr>
                <w:sz w:val="20"/>
              </w:rPr>
              <w:t>Amount Unlimited; Issuable in Series.</w:t>
            </w:r>
          </w:p>
        </w:tc>
        <w:tc>
          <w:tcPr>
            <w:tcW w:w="456" w:type="dxa"/>
            <w:tcBorders/>
            <w:shd w:fill="FFFFFF" w:val="clear"/>
            <w:vAlign w:val="center"/>
          </w:tcPr>
          <w:p>
            <w:pPr>
              <w:pStyle w:val="TableContents"/>
              <w:bidi w:val="0"/>
              <w:spacing w:before="0" w:after="283"/>
              <w:ind w:left="0" w:right="0" w:hanging="0"/>
              <w:jc w:val="center"/>
              <w:rPr>
                <w:sz w:val="20"/>
              </w:rPr>
            </w:pPr>
            <w:r>
              <w:rPr>
                <w:sz w:val="20"/>
              </w:rPr>
              <w:t>16</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3.02</w:t>
            </w:r>
          </w:p>
        </w:tc>
        <w:tc>
          <w:tcPr>
            <w:tcW w:w="8789" w:type="dxa"/>
            <w:tcBorders/>
            <w:shd w:fill="CCEEFF" w:val="clear"/>
            <w:vAlign w:val="center"/>
          </w:tcPr>
          <w:p>
            <w:pPr>
              <w:pStyle w:val="TableContents"/>
              <w:bidi w:val="0"/>
              <w:spacing w:before="0" w:after="283"/>
              <w:jc w:val="left"/>
              <w:rPr>
                <w:sz w:val="20"/>
              </w:rPr>
            </w:pPr>
            <w:r>
              <w:rPr>
                <w:sz w:val="20"/>
              </w:rPr>
              <w:t>Denominations.</w:t>
            </w:r>
          </w:p>
        </w:tc>
        <w:tc>
          <w:tcPr>
            <w:tcW w:w="456" w:type="dxa"/>
            <w:tcBorders/>
            <w:shd w:fill="CCEEFF" w:val="clear"/>
            <w:vAlign w:val="center"/>
          </w:tcPr>
          <w:p>
            <w:pPr>
              <w:pStyle w:val="TableContents"/>
              <w:bidi w:val="0"/>
              <w:spacing w:before="0" w:after="283"/>
              <w:ind w:left="0" w:right="0" w:hanging="0"/>
              <w:jc w:val="center"/>
              <w:rPr>
                <w:sz w:val="20"/>
              </w:rPr>
            </w:pPr>
            <w:r>
              <w:rPr>
                <w:sz w:val="20"/>
              </w:rPr>
              <w:t>19</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3.03</w:t>
            </w:r>
          </w:p>
        </w:tc>
        <w:tc>
          <w:tcPr>
            <w:tcW w:w="8789" w:type="dxa"/>
            <w:tcBorders/>
            <w:shd w:fill="FFFFFF" w:val="clear"/>
            <w:vAlign w:val="center"/>
          </w:tcPr>
          <w:p>
            <w:pPr>
              <w:pStyle w:val="TableContents"/>
              <w:bidi w:val="0"/>
              <w:spacing w:before="0" w:after="283"/>
              <w:jc w:val="left"/>
              <w:rPr>
                <w:sz w:val="20"/>
              </w:rPr>
            </w:pPr>
            <w:r>
              <w:rPr>
                <w:sz w:val="20"/>
              </w:rPr>
              <w:t>Execution, Authentication, Delivery and Dating.</w:t>
            </w:r>
          </w:p>
        </w:tc>
        <w:tc>
          <w:tcPr>
            <w:tcW w:w="456" w:type="dxa"/>
            <w:tcBorders/>
            <w:shd w:fill="FFFFFF" w:val="clear"/>
            <w:vAlign w:val="center"/>
          </w:tcPr>
          <w:p>
            <w:pPr>
              <w:pStyle w:val="TableContents"/>
              <w:bidi w:val="0"/>
              <w:spacing w:before="0" w:after="283"/>
              <w:ind w:left="0" w:right="0" w:hanging="0"/>
              <w:jc w:val="center"/>
              <w:rPr>
                <w:sz w:val="20"/>
              </w:rPr>
            </w:pPr>
            <w:r>
              <w:rPr>
                <w:sz w:val="20"/>
              </w:rPr>
              <w:t>19</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3.04</w:t>
            </w:r>
          </w:p>
        </w:tc>
        <w:tc>
          <w:tcPr>
            <w:tcW w:w="8789" w:type="dxa"/>
            <w:tcBorders/>
            <w:shd w:fill="CCEEFF" w:val="clear"/>
            <w:vAlign w:val="center"/>
          </w:tcPr>
          <w:p>
            <w:pPr>
              <w:pStyle w:val="TableContents"/>
              <w:bidi w:val="0"/>
              <w:spacing w:before="0" w:after="283"/>
              <w:jc w:val="left"/>
              <w:rPr>
                <w:sz w:val="20"/>
              </w:rPr>
            </w:pPr>
            <w:r>
              <w:rPr>
                <w:sz w:val="20"/>
              </w:rPr>
              <w:t>Temporary Securities.</w:t>
            </w:r>
          </w:p>
        </w:tc>
        <w:tc>
          <w:tcPr>
            <w:tcW w:w="456" w:type="dxa"/>
            <w:tcBorders/>
            <w:shd w:fill="CCEEFF" w:val="clear"/>
            <w:vAlign w:val="center"/>
          </w:tcPr>
          <w:p>
            <w:pPr>
              <w:pStyle w:val="TableContents"/>
              <w:bidi w:val="0"/>
              <w:spacing w:before="0" w:after="283"/>
              <w:ind w:left="0" w:right="0" w:hanging="0"/>
              <w:jc w:val="center"/>
              <w:rPr>
                <w:sz w:val="20"/>
              </w:rPr>
            </w:pPr>
            <w:r>
              <w:rPr>
                <w:sz w:val="20"/>
              </w:rPr>
              <w:t>21</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3.05</w:t>
            </w:r>
          </w:p>
        </w:tc>
        <w:tc>
          <w:tcPr>
            <w:tcW w:w="8789" w:type="dxa"/>
            <w:tcBorders/>
            <w:shd w:fill="FFFFFF" w:val="clear"/>
            <w:vAlign w:val="center"/>
          </w:tcPr>
          <w:p>
            <w:pPr>
              <w:pStyle w:val="TableContents"/>
              <w:bidi w:val="0"/>
              <w:spacing w:before="0" w:after="283"/>
              <w:jc w:val="left"/>
              <w:rPr>
                <w:sz w:val="20"/>
              </w:rPr>
            </w:pPr>
            <w:r>
              <w:rPr>
                <w:sz w:val="20"/>
              </w:rPr>
              <w:t>Registration; Registration of Transfer and Exchange.</w:t>
            </w:r>
          </w:p>
        </w:tc>
        <w:tc>
          <w:tcPr>
            <w:tcW w:w="456" w:type="dxa"/>
            <w:tcBorders/>
            <w:shd w:fill="FFFFFF" w:val="clear"/>
            <w:vAlign w:val="center"/>
          </w:tcPr>
          <w:p>
            <w:pPr>
              <w:pStyle w:val="TableContents"/>
              <w:bidi w:val="0"/>
              <w:spacing w:before="0" w:after="283"/>
              <w:ind w:left="0" w:right="0" w:hanging="0"/>
              <w:jc w:val="center"/>
              <w:rPr>
                <w:sz w:val="20"/>
              </w:rPr>
            </w:pPr>
            <w:r>
              <w:rPr>
                <w:sz w:val="20"/>
              </w:rPr>
              <w:t>21</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3.06</w:t>
            </w:r>
          </w:p>
        </w:tc>
        <w:tc>
          <w:tcPr>
            <w:tcW w:w="8789" w:type="dxa"/>
            <w:tcBorders/>
            <w:shd w:fill="CCEEFF" w:val="clear"/>
            <w:vAlign w:val="center"/>
          </w:tcPr>
          <w:p>
            <w:pPr>
              <w:pStyle w:val="TableContents"/>
              <w:bidi w:val="0"/>
              <w:spacing w:before="0" w:after="283"/>
              <w:jc w:val="left"/>
              <w:rPr>
                <w:sz w:val="20"/>
              </w:rPr>
            </w:pPr>
            <w:r>
              <w:rPr>
                <w:sz w:val="20"/>
              </w:rPr>
              <w:t>Mutilated, Destroyed, Lost and Stolen Securities.</w:t>
            </w:r>
          </w:p>
        </w:tc>
        <w:tc>
          <w:tcPr>
            <w:tcW w:w="456" w:type="dxa"/>
            <w:tcBorders/>
            <w:shd w:fill="CCEEFF" w:val="clear"/>
            <w:vAlign w:val="center"/>
          </w:tcPr>
          <w:p>
            <w:pPr>
              <w:pStyle w:val="TableContents"/>
              <w:bidi w:val="0"/>
              <w:spacing w:before="0" w:after="283"/>
              <w:ind w:left="0" w:right="0" w:hanging="0"/>
              <w:jc w:val="center"/>
              <w:rPr>
                <w:sz w:val="20"/>
              </w:rPr>
            </w:pPr>
            <w:r>
              <w:rPr>
                <w:sz w:val="20"/>
              </w:rPr>
              <w:t>24</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3.07</w:t>
            </w:r>
          </w:p>
        </w:tc>
        <w:tc>
          <w:tcPr>
            <w:tcW w:w="8789" w:type="dxa"/>
            <w:tcBorders/>
            <w:shd w:fill="FFFFFF" w:val="clear"/>
            <w:vAlign w:val="center"/>
          </w:tcPr>
          <w:p>
            <w:pPr>
              <w:pStyle w:val="TableContents"/>
              <w:bidi w:val="0"/>
              <w:spacing w:before="0" w:after="283"/>
              <w:jc w:val="left"/>
              <w:rPr>
                <w:sz w:val="20"/>
              </w:rPr>
            </w:pPr>
            <w:r>
              <w:rPr>
                <w:sz w:val="20"/>
              </w:rPr>
              <w:t>Payment of Interest; Interest Rights Preserved.</w:t>
            </w:r>
          </w:p>
        </w:tc>
        <w:tc>
          <w:tcPr>
            <w:tcW w:w="456" w:type="dxa"/>
            <w:tcBorders/>
            <w:shd w:fill="FFFFFF" w:val="clear"/>
            <w:vAlign w:val="center"/>
          </w:tcPr>
          <w:p>
            <w:pPr>
              <w:pStyle w:val="TableContents"/>
              <w:bidi w:val="0"/>
              <w:spacing w:before="0" w:after="283"/>
              <w:ind w:left="0" w:right="0" w:hanging="0"/>
              <w:jc w:val="center"/>
              <w:rPr>
                <w:sz w:val="20"/>
              </w:rPr>
            </w:pPr>
            <w:r>
              <w:rPr>
                <w:sz w:val="20"/>
              </w:rPr>
              <w:t>24</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3.08</w:t>
            </w:r>
          </w:p>
        </w:tc>
        <w:tc>
          <w:tcPr>
            <w:tcW w:w="8789" w:type="dxa"/>
            <w:tcBorders/>
            <w:shd w:fill="CCEEFF" w:val="clear"/>
            <w:vAlign w:val="center"/>
          </w:tcPr>
          <w:p>
            <w:pPr>
              <w:pStyle w:val="TableContents"/>
              <w:bidi w:val="0"/>
              <w:spacing w:before="0" w:after="283"/>
              <w:jc w:val="left"/>
              <w:rPr>
                <w:sz w:val="20"/>
              </w:rPr>
            </w:pPr>
            <w:r>
              <w:rPr>
                <w:sz w:val="20"/>
              </w:rPr>
              <w:t>Persons Deemed Owners.</w:t>
            </w:r>
          </w:p>
        </w:tc>
        <w:tc>
          <w:tcPr>
            <w:tcW w:w="456" w:type="dxa"/>
            <w:tcBorders/>
            <w:shd w:fill="CCEEFF" w:val="clear"/>
            <w:vAlign w:val="center"/>
          </w:tcPr>
          <w:p>
            <w:pPr>
              <w:pStyle w:val="TableContents"/>
              <w:bidi w:val="0"/>
              <w:spacing w:before="0" w:after="283"/>
              <w:ind w:left="0" w:right="0" w:hanging="0"/>
              <w:jc w:val="center"/>
              <w:rPr>
                <w:sz w:val="20"/>
              </w:rPr>
            </w:pPr>
            <w:r>
              <w:rPr>
                <w:sz w:val="20"/>
              </w:rPr>
              <w:t>26</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3.09</w:t>
            </w:r>
          </w:p>
        </w:tc>
        <w:tc>
          <w:tcPr>
            <w:tcW w:w="8789" w:type="dxa"/>
            <w:tcBorders/>
            <w:shd w:fill="FFFFFF" w:val="clear"/>
            <w:vAlign w:val="center"/>
          </w:tcPr>
          <w:p>
            <w:pPr>
              <w:pStyle w:val="TableContents"/>
              <w:bidi w:val="0"/>
              <w:spacing w:before="0" w:after="283"/>
              <w:jc w:val="left"/>
              <w:rPr>
                <w:sz w:val="20"/>
              </w:rPr>
            </w:pPr>
            <w:r>
              <w:rPr>
                <w:sz w:val="20"/>
              </w:rPr>
              <w:t>Cancellation.</w:t>
            </w:r>
          </w:p>
        </w:tc>
        <w:tc>
          <w:tcPr>
            <w:tcW w:w="456" w:type="dxa"/>
            <w:tcBorders/>
            <w:shd w:fill="FFFFFF" w:val="clear"/>
            <w:vAlign w:val="center"/>
          </w:tcPr>
          <w:p>
            <w:pPr>
              <w:pStyle w:val="TableContents"/>
              <w:bidi w:val="0"/>
              <w:spacing w:before="0" w:after="283"/>
              <w:ind w:left="0" w:right="0" w:hanging="0"/>
              <w:jc w:val="center"/>
              <w:rPr>
                <w:sz w:val="20"/>
              </w:rPr>
            </w:pPr>
            <w:r>
              <w:rPr>
                <w:sz w:val="20"/>
              </w:rPr>
              <w:t>26</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3.10</w:t>
            </w:r>
          </w:p>
        </w:tc>
        <w:tc>
          <w:tcPr>
            <w:tcW w:w="8789" w:type="dxa"/>
            <w:tcBorders/>
            <w:shd w:fill="CCEEFF" w:val="clear"/>
            <w:vAlign w:val="center"/>
          </w:tcPr>
          <w:p>
            <w:pPr>
              <w:pStyle w:val="TableContents"/>
              <w:bidi w:val="0"/>
              <w:spacing w:before="0" w:after="283"/>
              <w:jc w:val="left"/>
              <w:rPr>
                <w:sz w:val="20"/>
              </w:rPr>
            </w:pPr>
            <w:r>
              <w:rPr>
                <w:sz w:val="20"/>
              </w:rPr>
              <w:t>Computation of Interest.</w:t>
            </w:r>
          </w:p>
        </w:tc>
        <w:tc>
          <w:tcPr>
            <w:tcW w:w="456" w:type="dxa"/>
            <w:tcBorders/>
            <w:shd w:fill="CCEEFF" w:val="clear"/>
            <w:vAlign w:val="center"/>
          </w:tcPr>
          <w:p>
            <w:pPr>
              <w:pStyle w:val="TableContents"/>
              <w:bidi w:val="0"/>
              <w:spacing w:before="0" w:after="283"/>
              <w:ind w:left="0" w:right="0" w:hanging="0"/>
              <w:jc w:val="center"/>
              <w:rPr>
                <w:sz w:val="20"/>
              </w:rPr>
            </w:pPr>
            <w:r>
              <w:rPr>
                <w:sz w:val="20"/>
              </w:rPr>
              <w:t>26</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3.11</w:t>
            </w:r>
          </w:p>
        </w:tc>
        <w:tc>
          <w:tcPr>
            <w:tcW w:w="8789" w:type="dxa"/>
            <w:tcBorders/>
            <w:shd w:fill="FFFFFF" w:val="clear"/>
            <w:vAlign w:val="center"/>
          </w:tcPr>
          <w:p>
            <w:pPr>
              <w:pStyle w:val="TableContents"/>
              <w:bidi w:val="0"/>
              <w:spacing w:before="0" w:after="283"/>
              <w:jc w:val="left"/>
              <w:rPr>
                <w:sz w:val="20"/>
              </w:rPr>
            </w:pPr>
            <w:r>
              <w:rPr>
                <w:sz w:val="20"/>
              </w:rPr>
              <w:t>CUSIP Numbers.</w:t>
            </w:r>
          </w:p>
        </w:tc>
        <w:tc>
          <w:tcPr>
            <w:tcW w:w="456" w:type="dxa"/>
            <w:tcBorders/>
            <w:shd w:fill="FFFFFF" w:val="clear"/>
            <w:vAlign w:val="center"/>
          </w:tcPr>
          <w:p>
            <w:pPr>
              <w:pStyle w:val="TableContents"/>
              <w:bidi w:val="0"/>
              <w:spacing w:before="0" w:after="283"/>
              <w:ind w:left="0" w:right="0" w:hanging="0"/>
              <w:jc w:val="center"/>
              <w:rPr>
                <w:sz w:val="20"/>
              </w:rPr>
            </w:pPr>
            <w:r>
              <w:rPr>
                <w:sz w:val="20"/>
              </w:rPr>
              <w:t>26</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3.12</w:t>
            </w:r>
          </w:p>
        </w:tc>
        <w:tc>
          <w:tcPr>
            <w:tcW w:w="8789" w:type="dxa"/>
            <w:tcBorders/>
            <w:shd w:fill="CCEEFF" w:val="clear"/>
            <w:vAlign w:val="center"/>
          </w:tcPr>
          <w:p>
            <w:pPr>
              <w:pStyle w:val="TableContents"/>
              <w:bidi w:val="0"/>
              <w:spacing w:before="0" w:after="283"/>
              <w:jc w:val="left"/>
              <w:rPr>
                <w:sz w:val="20"/>
              </w:rPr>
            </w:pPr>
            <w:r>
              <w:rPr>
                <w:sz w:val="20"/>
              </w:rPr>
              <w:t>Depositary.</w:t>
            </w:r>
          </w:p>
        </w:tc>
        <w:tc>
          <w:tcPr>
            <w:tcW w:w="456" w:type="dxa"/>
            <w:tcBorders/>
            <w:shd w:fill="CCEEFF" w:val="clear"/>
            <w:vAlign w:val="center"/>
          </w:tcPr>
          <w:p>
            <w:pPr>
              <w:pStyle w:val="TableContents"/>
              <w:bidi w:val="0"/>
              <w:spacing w:before="0" w:after="283"/>
              <w:jc w:val="center"/>
              <w:rPr>
                <w:sz w:val="20"/>
              </w:rPr>
            </w:pPr>
            <w:r>
              <w:rPr>
                <w:sz w:val="20"/>
              </w:rPr>
              <w:t>27</w:t>
            </w:r>
          </w:p>
        </w:tc>
      </w:tr>
      <w:tr>
        <w:trPr/>
        <w:tc>
          <w:tcPr>
            <w:tcW w:w="960" w:type="dxa"/>
            <w:tcBorders/>
            <w:shd w:fill="FFFFFF" w:val="clear"/>
            <w:vAlign w:val="center"/>
          </w:tcPr>
          <w:p>
            <w:pPr>
              <w:pStyle w:val="TableContents"/>
              <w:bidi w:val="0"/>
              <w:spacing w:before="0" w:after="283"/>
              <w:jc w:val="left"/>
              <w:rPr/>
            </w:pPr>
            <w:r>
              <w:rPr/>
              <w:t> </w:t>
            </w:r>
          </w:p>
        </w:tc>
        <w:tc>
          <w:tcPr>
            <w:tcW w:w="8789"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9749" w:type="dxa"/>
            <w:gridSpan w:val="2"/>
            <w:tcBorders/>
            <w:shd w:fill="CCEEFF" w:val="clear"/>
            <w:vAlign w:val="center"/>
          </w:tcPr>
          <w:p>
            <w:pPr>
              <w:pStyle w:val="TableContents"/>
              <w:bidi w:val="0"/>
              <w:spacing w:before="0" w:after="283"/>
              <w:jc w:val="left"/>
              <w:rPr>
                <w:b/>
                <w:sz w:val="20"/>
              </w:rPr>
            </w:pPr>
            <w:r>
              <w:rPr>
                <w:b/>
                <w:sz w:val="20"/>
              </w:rPr>
              <w:t>ARTICLE IV SATISFACTION AND DISCHARGE</w:t>
            </w:r>
          </w:p>
        </w:tc>
        <w:tc>
          <w:tcPr>
            <w:tcW w:w="456" w:type="dxa"/>
            <w:tcBorders/>
            <w:shd w:fill="CCEEFF" w:val="clear"/>
            <w:vAlign w:val="center"/>
          </w:tcPr>
          <w:p>
            <w:pPr>
              <w:pStyle w:val="TableContents"/>
              <w:bidi w:val="0"/>
              <w:spacing w:before="0" w:after="283"/>
              <w:ind w:left="0" w:right="0" w:hanging="0"/>
              <w:jc w:val="center"/>
              <w:rPr>
                <w:b/>
                <w:sz w:val="20"/>
              </w:rPr>
            </w:pPr>
            <w:r>
              <w:rPr>
                <w:b/>
                <w:sz w:val="20"/>
              </w:rPr>
              <w:t>27</w:t>
            </w:r>
          </w:p>
        </w:tc>
      </w:tr>
      <w:tr>
        <w:trPr/>
        <w:tc>
          <w:tcPr>
            <w:tcW w:w="960" w:type="dxa"/>
            <w:tcBorders/>
            <w:shd w:fill="FFFFFF" w:val="clear"/>
            <w:vAlign w:val="center"/>
          </w:tcPr>
          <w:p>
            <w:pPr>
              <w:pStyle w:val="TableContents"/>
              <w:bidi w:val="0"/>
              <w:spacing w:before="0" w:after="283"/>
              <w:ind w:left="0" w:right="0" w:hanging="0"/>
              <w:jc w:val="left"/>
              <w:rPr>
                <w:sz w:val="20"/>
              </w:rPr>
            </w:pPr>
            <w:r>
              <w:rPr>
                <w:sz w:val="20"/>
              </w:rPr>
              <w:t>Section 4.01</w:t>
            </w:r>
          </w:p>
        </w:tc>
        <w:tc>
          <w:tcPr>
            <w:tcW w:w="8789" w:type="dxa"/>
            <w:tcBorders/>
            <w:shd w:fill="FFFFFF" w:val="clear"/>
            <w:vAlign w:val="center"/>
          </w:tcPr>
          <w:p>
            <w:pPr>
              <w:pStyle w:val="TableContents"/>
              <w:bidi w:val="0"/>
              <w:spacing w:before="0" w:after="283"/>
              <w:jc w:val="left"/>
              <w:rPr>
                <w:sz w:val="20"/>
              </w:rPr>
            </w:pPr>
            <w:r>
              <w:rPr>
                <w:sz w:val="20"/>
              </w:rPr>
              <w:t>Satisfaction and Discharge of Indenture.</w:t>
            </w:r>
          </w:p>
        </w:tc>
        <w:tc>
          <w:tcPr>
            <w:tcW w:w="456" w:type="dxa"/>
            <w:tcBorders/>
            <w:shd w:fill="FFFFFF" w:val="clear"/>
            <w:vAlign w:val="center"/>
          </w:tcPr>
          <w:p>
            <w:pPr>
              <w:pStyle w:val="TableContents"/>
              <w:bidi w:val="0"/>
              <w:spacing w:before="0" w:after="283"/>
              <w:ind w:left="0" w:right="0" w:hanging="0"/>
              <w:jc w:val="center"/>
              <w:rPr>
                <w:sz w:val="20"/>
              </w:rPr>
            </w:pPr>
            <w:r>
              <w:rPr>
                <w:sz w:val="20"/>
              </w:rPr>
              <w:t>27</w:t>
            </w:r>
          </w:p>
        </w:tc>
      </w:tr>
      <w:tr>
        <w:trPr/>
        <w:tc>
          <w:tcPr>
            <w:tcW w:w="960" w:type="dxa"/>
            <w:tcBorders/>
            <w:shd w:fill="CCEEFF" w:val="clear"/>
            <w:vAlign w:val="center"/>
          </w:tcPr>
          <w:p>
            <w:pPr>
              <w:pStyle w:val="TableContents"/>
              <w:bidi w:val="0"/>
              <w:spacing w:before="0" w:after="283"/>
              <w:ind w:left="0" w:right="0" w:hanging="0"/>
              <w:jc w:val="left"/>
              <w:rPr>
                <w:sz w:val="20"/>
              </w:rPr>
            </w:pPr>
            <w:r>
              <w:rPr>
                <w:sz w:val="20"/>
              </w:rPr>
              <w:t>Section 4.02</w:t>
            </w:r>
          </w:p>
        </w:tc>
        <w:tc>
          <w:tcPr>
            <w:tcW w:w="8789" w:type="dxa"/>
            <w:tcBorders/>
            <w:shd w:fill="CCEEFF" w:val="clear"/>
            <w:vAlign w:val="center"/>
          </w:tcPr>
          <w:p>
            <w:pPr>
              <w:pStyle w:val="TableContents"/>
              <w:bidi w:val="0"/>
              <w:spacing w:before="0" w:after="283"/>
              <w:jc w:val="left"/>
              <w:rPr>
                <w:sz w:val="20"/>
              </w:rPr>
            </w:pPr>
            <w:r>
              <w:rPr>
                <w:sz w:val="20"/>
              </w:rPr>
              <w:t>Application of Trust Money.</w:t>
            </w:r>
          </w:p>
        </w:tc>
        <w:tc>
          <w:tcPr>
            <w:tcW w:w="456" w:type="dxa"/>
            <w:tcBorders/>
            <w:shd w:fill="CCEEFF" w:val="clear"/>
            <w:vAlign w:val="center"/>
          </w:tcPr>
          <w:p>
            <w:pPr>
              <w:pStyle w:val="TableContents"/>
              <w:bidi w:val="0"/>
              <w:spacing w:before="0" w:after="283"/>
              <w:jc w:val="center"/>
              <w:rPr>
                <w:sz w:val="20"/>
              </w:rPr>
            </w:pPr>
            <w:r>
              <w:rPr>
                <w:sz w:val="20"/>
              </w:rPr>
              <w:t>28</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525" w:type="dxa"/>
        <w:jc w:val="left"/>
        <w:tblInd w:w="0" w:type="dxa"/>
        <w:tblLayout w:type="fixed"/>
        <w:tblCellMar>
          <w:top w:w="0" w:type="dxa"/>
          <w:left w:w="0" w:type="dxa"/>
          <w:bottom w:w="0" w:type="dxa"/>
          <w:right w:w="0" w:type="dxa"/>
        </w:tblCellMar>
      </w:tblPr>
      <w:tblGrid>
        <w:gridCol w:w="1055"/>
        <w:gridCol w:w="8195"/>
        <w:gridCol w:w="275"/>
      </w:tblGrid>
      <w:tr>
        <w:trPr/>
        <w:tc>
          <w:tcPr>
            <w:tcW w:w="9250" w:type="dxa"/>
            <w:gridSpan w:val="2"/>
            <w:tcBorders/>
            <w:shd w:fill="CCEEFF" w:val="clear"/>
            <w:vAlign w:val="center"/>
          </w:tcPr>
          <w:p>
            <w:pPr>
              <w:pStyle w:val="TableContents"/>
              <w:bidi w:val="0"/>
              <w:spacing w:before="0" w:after="283"/>
              <w:jc w:val="left"/>
              <w:rPr>
                <w:b/>
                <w:sz w:val="20"/>
              </w:rPr>
            </w:pPr>
            <w:r>
              <w:rPr>
                <w:b/>
                <w:sz w:val="20"/>
              </w:rPr>
              <w:t>ARTICLE V REMEDIES</w:t>
            </w:r>
          </w:p>
        </w:tc>
        <w:tc>
          <w:tcPr>
            <w:tcW w:w="275" w:type="dxa"/>
            <w:tcBorders/>
            <w:shd w:fill="CCEEFF" w:val="clear"/>
            <w:vAlign w:val="center"/>
          </w:tcPr>
          <w:p>
            <w:pPr>
              <w:pStyle w:val="TableContents"/>
              <w:bidi w:val="0"/>
              <w:spacing w:before="0" w:after="283"/>
              <w:ind w:left="0" w:right="0" w:hanging="0"/>
              <w:jc w:val="center"/>
              <w:rPr>
                <w:b/>
                <w:sz w:val="20"/>
              </w:rPr>
            </w:pPr>
            <w:r>
              <w:rPr>
                <w:b/>
                <w:sz w:val="20"/>
              </w:rPr>
              <w:t>28</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5.01</w:t>
            </w:r>
          </w:p>
        </w:tc>
        <w:tc>
          <w:tcPr>
            <w:tcW w:w="8195" w:type="dxa"/>
            <w:tcBorders/>
            <w:shd w:fill="FFFFFF" w:val="clear"/>
            <w:vAlign w:val="center"/>
          </w:tcPr>
          <w:p>
            <w:pPr>
              <w:pStyle w:val="TableContents"/>
              <w:bidi w:val="0"/>
              <w:spacing w:before="0" w:after="283"/>
              <w:jc w:val="left"/>
              <w:rPr>
                <w:sz w:val="20"/>
              </w:rPr>
            </w:pPr>
            <w:r>
              <w:rPr>
                <w:sz w:val="20"/>
              </w:rPr>
              <w:t>Events of Default.</w:t>
            </w:r>
          </w:p>
        </w:tc>
        <w:tc>
          <w:tcPr>
            <w:tcW w:w="275" w:type="dxa"/>
            <w:tcBorders/>
            <w:shd w:fill="FFFFFF" w:val="clear"/>
            <w:vAlign w:val="center"/>
          </w:tcPr>
          <w:p>
            <w:pPr>
              <w:pStyle w:val="TableContents"/>
              <w:bidi w:val="0"/>
              <w:spacing w:before="0" w:after="283"/>
              <w:ind w:left="0" w:right="0" w:hanging="0"/>
              <w:jc w:val="center"/>
              <w:rPr>
                <w:sz w:val="20"/>
              </w:rPr>
            </w:pPr>
            <w:r>
              <w:rPr>
                <w:sz w:val="20"/>
              </w:rPr>
              <w:t>28</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5.02</w:t>
            </w:r>
          </w:p>
        </w:tc>
        <w:tc>
          <w:tcPr>
            <w:tcW w:w="8195" w:type="dxa"/>
            <w:tcBorders/>
            <w:shd w:fill="CCEEFF" w:val="clear"/>
            <w:vAlign w:val="center"/>
          </w:tcPr>
          <w:p>
            <w:pPr>
              <w:pStyle w:val="TableContents"/>
              <w:bidi w:val="0"/>
              <w:spacing w:before="0" w:after="283"/>
              <w:jc w:val="left"/>
              <w:rPr>
                <w:sz w:val="20"/>
              </w:rPr>
            </w:pPr>
            <w:r>
              <w:rPr>
                <w:sz w:val="20"/>
              </w:rPr>
              <w:t>Acceleration of Maturity; Rescission and Annulment.</w:t>
            </w:r>
          </w:p>
        </w:tc>
        <w:tc>
          <w:tcPr>
            <w:tcW w:w="275" w:type="dxa"/>
            <w:tcBorders/>
            <w:shd w:fill="CCEEFF" w:val="clear"/>
            <w:vAlign w:val="center"/>
          </w:tcPr>
          <w:p>
            <w:pPr>
              <w:pStyle w:val="TableContents"/>
              <w:bidi w:val="0"/>
              <w:spacing w:before="0" w:after="283"/>
              <w:ind w:left="0" w:right="0" w:hanging="0"/>
              <w:jc w:val="center"/>
              <w:rPr>
                <w:sz w:val="20"/>
              </w:rPr>
            </w:pPr>
            <w:r>
              <w:rPr>
                <w:sz w:val="20"/>
              </w:rPr>
              <w:t>29</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5.03</w:t>
            </w:r>
          </w:p>
        </w:tc>
        <w:tc>
          <w:tcPr>
            <w:tcW w:w="8195" w:type="dxa"/>
            <w:tcBorders/>
            <w:shd w:fill="FFFFFF" w:val="clear"/>
            <w:vAlign w:val="center"/>
          </w:tcPr>
          <w:p>
            <w:pPr>
              <w:pStyle w:val="TableContents"/>
              <w:bidi w:val="0"/>
              <w:spacing w:before="0" w:after="283"/>
              <w:jc w:val="left"/>
              <w:rPr>
                <w:sz w:val="20"/>
              </w:rPr>
            </w:pPr>
            <w:r>
              <w:rPr>
                <w:sz w:val="20"/>
              </w:rPr>
              <w:t>Collection of Indebtedness and Suits for Enforcement by Trustee.</w:t>
            </w:r>
          </w:p>
        </w:tc>
        <w:tc>
          <w:tcPr>
            <w:tcW w:w="275" w:type="dxa"/>
            <w:tcBorders/>
            <w:shd w:fill="FFFFFF" w:val="clear"/>
            <w:vAlign w:val="center"/>
          </w:tcPr>
          <w:p>
            <w:pPr>
              <w:pStyle w:val="TableContents"/>
              <w:bidi w:val="0"/>
              <w:spacing w:before="0" w:after="283"/>
              <w:ind w:left="0" w:right="0" w:hanging="0"/>
              <w:jc w:val="center"/>
              <w:rPr>
                <w:sz w:val="20"/>
              </w:rPr>
            </w:pPr>
            <w:r>
              <w:rPr>
                <w:sz w:val="20"/>
              </w:rPr>
              <w:t>30</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5.04</w:t>
            </w:r>
          </w:p>
        </w:tc>
        <w:tc>
          <w:tcPr>
            <w:tcW w:w="8195" w:type="dxa"/>
            <w:tcBorders/>
            <w:shd w:fill="CCEEFF" w:val="clear"/>
            <w:vAlign w:val="center"/>
          </w:tcPr>
          <w:p>
            <w:pPr>
              <w:pStyle w:val="TableContents"/>
              <w:bidi w:val="0"/>
              <w:spacing w:before="0" w:after="283"/>
              <w:jc w:val="left"/>
              <w:rPr>
                <w:sz w:val="20"/>
              </w:rPr>
            </w:pPr>
            <w:r>
              <w:rPr>
                <w:sz w:val="20"/>
              </w:rPr>
              <w:t>Trustee May File Proofs of Claim.</w:t>
            </w:r>
          </w:p>
        </w:tc>
        <w:tc>
          <w:tcPr>
            <w:tcW w:w="275" w:type="dxa"/>
            <w:tcBorders/>
            <w:shd w:fill="CCEEFF" w:val="clear"/>
            <w:vAlign w:val="center"/>
          </w:tcPr>
          <w:p>
            <w:pPr>
              <w:pStyle w:val="TableContents"/>
              <w:bidi w:val="0"/>
              <w:spacing w:before="0" w:after="283"/>
              <w:ind w:left="0" w:right="0" w:hanging="0"/>
              <w:jc w:val="center"/>
              <w:rPr>
                <w:sz w:val="20"/>
              </w:rPr>
            </w:pPr>
            <w:r>
              <w:rPr>
                <w:sz w:val="20"/>
              </w:rPr>
              <w:t>31</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5.05</w:t>
            </w:r>
          </w:p>
        </w:tc>
        <w:tc>
          <w:tcPr>
            <w:tcW w:w="8195" w:type="dxa"/>
            <w:tcBorders/>
            <w:shd w:fill="FFFFFF" w:val="clear"/>
            <w:vAlign w:val="center"/>
          </w:tcPr>
          <w:p>
            <w:pPr>
              <w:pStyle w:val="TableContents"/>
              <w:bidi w:val="0"/>
              <w:spacing w:before="0" w:after="283"/>
              <w:jc w:val="left"/>
              <w:rPr>
                <w:sz w:val="20"/>
              </w:rPr>
            </w:pPr>
            <w:r>
              <w:rPr>
                <w:sz w:val="20"/>
              </w:rPr>
              <w:t>Trustee May Enforce Claims Without Possession of Securities.</w:t>
            </w:r>
          </w:p>
        </w:tc>
        <w:tc>
          <w:tcPr>
            <w:tcW w:w="275" w:type="dxa"/>
            <w:tcBorders/>
            <w:shd w:fill="FFFFFF" w:val="clear"/>
            <w:vAlign w:val="center"/>
          </w:tcPr>
          <w:p>
            <w:pPr>
              <w:pStyle w:val="TableContents"/>
              <w:bidi w:val="0"/>
              <w:spacing w:before="0" w:after="283"/>
              <w:ind w:left="0" w:right="0" w:hanging="0"/>
              <w:jc w:val="center"/>
              <w:rPr>
                <w:sz w:val="20"/>
              </w:rPr>
            </w:pPr>
            <w:r>
              <w:rPr>
                <w:sz w:val="20"/>
              </w:rPr>
              <w:t>31</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5.06</w:t>
            </w:r>
          </w:p>
        </w:tc>
        <w:tc>
          <w:tcPr>
            <w:tcW w:w="8195" w:type="dxa"/>
            <w:tcBorders/>
            <w:shd w:fill="CCEEFF" w:val="clear"/>
            <w:vAlign w:val="center"/>
          </w:tcPr>
          <w:p>
            <w:pPr>
              <w:pStyle w:val="TableContents"/>
              <w:bidi w:val="0"/>
              <w:spacing w:before="0" w:after="283"/>
              <w:jc w:val="left"/>
              <w:rPr>
                <w:sz w:val="20"/>
              </w:rPr>
            </w:pPr>
            <w:r>
              <w:rPr>
                <w:sz w:val="20"/>
              </w:rPr>
              <w:t>Application of Money Collected.</w:t>
            </w:r>
          </w:p>
        </w:tc>
        <w:tc>
          <w:tcPr>
            <w:tcW w:w="275" w:type="dxa"/>
            <w:tcBorders/>
            <w:shd w:fill="CCEEFF" w:val="clear"/>
            <w:vAlign w:val="center"/>
          </w:tcPr>
          <w:p>
            <w:pPr>
              <w:pStyle w:val="TableContents"/>
              <w:bidi w:val="0"/>
              <w:spacing w:before="0" w:after="283"/>
              <w:ind w:left="0" w:right="0" w:hanging="0"/>
              <w:jc w:val="center"/>
              <w:rPr>
                <w:sz w:val="20"/>
              </w:rPr>
            </w:pPr>
            <w:r>
              <w:rPr>
                <w:sz w:val="20"/>
              </w:rPr>
              <w:t>31</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5.07</w:t>
            </w:r>
          </w:p>
        </w:tc>
        <w:tc>
          <w:tcPr>
            <w:tcW w:w="8195" w:type="dxa"/>
            <w:tcBorders/>
            <w:shd w:fill="FFFFFF" w:val="clear"/>
            <w:vAlign w:val="center"/>
          </w:tcPr>
          <w:p>
            <w:pPr>
              <w:pStyle w:val="TableContents"/>
              <w:bidi w:val="0"/>
              <w:spacing w:before="0" w:after="283"/>
              <w:jc w:val="left"/>
              <w:rPr>
                <w:sz w:val="20"/>
              </w:rPr>
            </w:pPr>
            <w:r>
              <w:rPr>
                <w:sz w:val="20"/>
              </w:rPr>
              <w:t>Limitation on Suits.</w:t>
            </w:r>
          </w:p>
        </w:tc>
        <w:tc>
          <w:tcPr>
            <w:tcW w:w="275" w:type="dxa"/>
            <w:tcBorders/>
            <w:shd w:fill="FFFFFF" w:val="clear"/>
            <w:vAlign w:val="center"/>
          </w:tcPr>
          <w:p>
            <w:pPr>
              <w:pStyle w:val="TableContents"/>
              <w:bidi w:val="0"/>
              <w:spacing w:before="0" w:after="283"/>
              <w:ind w:left="0" w:right="0" w:hanging="0"/>
              <w:jc w:val="center"/>
              <w:rPr>
                <w:sz w:val="20"/>
              </w:rPr>
            </w:pPr>
            <w:r>
              <w:rPr>
                <w:sz w:val="20"/>
              </w:rPr>
              <w:t>32</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5.08</w:t>
            </w:r>
          </w:p>
        </w:tc>
        <w:tc>
          <w:tcPr>
            <w:tcW w:w="8195" w:type="dxa"/>
            <w:tcBorders/>
            <w:shd w:fill="CCEEFF" w:val="clear"/>
            <w:vAlign w:val="center"/>
          </w:tcPr>
          <w:p>
            <w:pPr>
              <w:pStyle w:val="TableContents"/>
              <w:bidi w:val="0"/>
              <w:spacing w:before="0" w:after="283"/>
              <w:jc w:val="left"/>
              <w:rPr>
                <w:sz w:val="20"/>
              </w:rPr>
            </w:pPr>
            <w:r>
              <w:rPr>
                <w:sz w:val="20"/>
              </w:rPr>
              <w:t>Unconditional Right of Holders to Receive Principal Premium and Interest and to Convert Securities.</w:t>
            </w:r>
          </w:p>
        </w:tc>
        <w:tc>
          <w:tcPr>
            <w:tcW w:w="275" w:type="dxa"/>
            <w:tcBorders/>
            <w:shd w:fill="CCEEFF" w:val="clear"/>
            <w:vAlign w:val="center"/>
          </w:tcPr>
          <w:p>
            <w:pPr>
              <w:pStyle w:val="TableContents"/>
              <w:bidi w:val="0"/>
              <w:spacing w:before="0" w:after="283"/>
              <w:ind w:left="0" w:right="0" w:hanging="0"/>
              <w:jc w:val="center"/>
              <w:rPr>
                <w:sz w:val="20"/>
              </w:rPr>
            </w:pPr>
            <w:r>
              <w:rPr>
                <w:sz w:val="20"/>
              </w:rPr>
              <w:t>32</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5.09</w:t>
            </w:r>
          </w:p>
        </w:tc>
        <w:tc>
          <w:tcPr>
            <w:tcW w:w="8195" w:type="dxa"/>
            <w:tcBorders/>
            <w:shd w:fill="FFFFFF" w:val="clear"/>
            <w:vAlign w:val="center"/>
          </w:tcPr>
          <w:p>
            <w:pPr>
              <w:pStyle w:val="TableContents"/>
              <w:bidi w:val="0"/>
              <w:spacing w:before="0" w:after="283"/>
              <w:jc w:val="left"/>
              <w:rPr>
                <w:sz w:val="20"/>
              </w:rPr>
            </w:pPr>
            <w:r>
              <w:rPr>
                <w:sz w:val="20"/>
              </w:rPr>
              <w:t>Restoration of Rights and Remedies.</w:t>
            </w:r>
          </w:p>
        </w:tc>
        <w:tc>
          <w:tcPr>
            <w:tcW w:w="275" w:type="dxa"/>
            <w:tcBorders/>
            <w:shd w:fill="FFFFFF" w:val="clear"/>
            <w:vAlign w:val="center"/>
          </w:tcPr>
          <w:p>
            <w:pPr>
              <w:pStyle w:val="TableContents"/>
              <w:bidi w:val="0"/>
              <w:spacing w:before="0" w:after="283"/>
              <w:ind w:left="0" w:right="0" w:hanging="0"/>
              <w:jc w:val="center"/>
              <w:rPr>
                <w:sz w:val="20"/>
              </w:rPr>
            </w:pPr>
            <w:r>
              <w:rPr>
                <w:sz w:val="20"/>
              </w:rPr>
              <w:t>33</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5.10</w:t>
            </w:r>
          </w:p>
        </w:tc>
        <w:tc>
          <w:tcPr>
            <w:tcW w:w="8195" w:type="dxa"/>
            <w:tcBorders/>
            <w:shd w:fill="CCEEFF" w:val="clear"/>
            <w:vAlign w:val="center"/>
          </w:tcPr>
          <w:p>
            <w:pPr>
              <w:pStyle w:val="TableContents"/>
              <w:bidi w:val="0"/>
              <w:spacing w:before="0" w:after="283"/>
              <w:jc w:val="left"/>
              <w:rPr>
                <w:sz w:val="20"/>
              </w:rPr>
            </w:pPr>
            <w:r>
              <w:rPr>
                <w:sz w:val="20"/>
              </w:rPr>
              <w:t>Rights and Remedies Cumulative.</w:t>
            </w:r>
          </w:p>
        </w:tc>
        <w:tc>
          <w:tcPr>
            <w:tcW w:w="275" w:type="dxa"/>
            <w:tcBorders/>
            <w:shd w:fill="CCEEFF" w:val="clear"/>
            <w:vAlign w:val="center"/>
          </w:tcPr>
          <w:p>
            <w:pPr>
              <w:pStyle w:val="TableContents"/>
              <w:bidi w:val="0"/>
              <w:spacing w:before="0" w:after="283"/>
              <w:ind w:left="0" w:right="0" w:hanging="0"/>
              <w:jc w:val="center"/>
              <w:rPr>
                <w:sz w:val="20"/>
              </w:rPr>
            </w:pPr>
            <w:r>
              <w:rPr>
                <w:sz w:val="20"/>
              </w:rPr>
              <w:t>33</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5.11</w:t>
            </w:r>
          </w:p>
        </w:tc>
        <w:tc>
          <w:tcPr>
            <w:tcW w:w="8195" w:type="dxa"/>
            <w:tcBorders/>
            <w:shd w:fill="FFFFFF" w:val="clear"/>
            <w:vAlign w:val="center"/>
          </w:tcPr>
          <w:p>
            <w:pPr>
              <w:pStyle w:val="TableContents"/>
              <w:bidi w:val="0"/>
              <w:spacing w:before="0" w:after="283"/>
              <w:jc w:val="left"/>
              <w:rPr>
                <w:sz w:val="20"/>
              </w:rPr>
            </w:pPr>
            <w:r>
              <w:rPr>
                <w:sz w:val="20"/>
              </w:rPr>
              <w:t>Delay or Omission Not Waiver.</w:t>
            </w:r>
          </w:p>
        </w:tc>
        <w:tc>
          <w:tcPr>
            <w:tcW w:w="275" w:type="dxa"/>
            <w:tcBorders/>
            <w:shd w:fill="FFFFFF" w:val="clear"/>
            <w:vAlign w:val="center"/>
          </w:tcPr>
          <w:p>
            <w:pPr>
              <w:pStyle w:val="TableContents"/>
              <w:bidi w:val="0"/>
              <w:spacing w:before="0" w:after="283"/>
              <w:ind w:left="0" w:right="0" w:hanging="0"/>
              <w:jc w:val="center"/>
              <w:rPr>
                <w:sz w:val="20"/>
              </w:rPr>
            </w:pPr>
            <w:r>
              <w:rPr>
                <w:sz w:val="20"/>
              </w:rPr>
              <w:t>33</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5.12</w:t>
            </w:r>
          </w:p>
        </w:tc>
        <w:tc>
          <w:tcPr>
            <w:tcW w:w="8195" w:type="dxa"/>
            <w:tcBorders/>
            <w:shd w:fill="CCEEFF" w:val="clear"/>
            <w:vAlign w:val="center"/>
          </w:tcPr>
          <w:p>
            <w:pPr>
              <w:pStyle w:val="TableContents"/>
              <w:bidi w:val="0"/>
              <w:spacing w:before="0" w:after="283"/>
              <w:jc w:val="left"/>
              <w:rPr>
                <w:sz w:val="20"/>
              </w:rPr>
            </w:pPr>
            <w:r>
              <w:rPr>
                <w:sz w:val="20"/>
              </w:rPr>
              <w:t>Control by Holders.</w:t>
            </w:r>
          </w:p>
        </w:tc>
        <w:tc>
          <w:tcPr>
            <w:tcW w:w="275" w:type="dxa"/>
            <w:tcBorders/>
            <w:shd w:fill="CCEEFF" w:val="clear"/>
            <w:vAlign w:val="center"/>
          </w:tcPr>
          <w:p>
            <w:pPr>
              <w:pStyle w:val="TableContents"/>
              <w:bidi w:val="0"/>
              <w:spacing w:before="0" w:after="283"/>
              <w:ind w:left="0" w:right="0" w:hanging="0"/>
              <w:jc w:val="center"/>
              <w:rPr>
                <w:sz w:val="20"/>
              </w:rPr>
            </w:pPr>
            <w:r>
              <w:rPr>
                <w:sz w:val="20"/>
              </w:rPr>
              <w:t>33</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5.13</w:t>
            </w:r>
          </w:p>
        </w:tc>
        <w:tc>
          <w:tcPr>
            <w:tcW w:w="8195" w:type="dxa"/>
            <w:tcBorders/>
            <w:shd w:fill="FFFFFF" w:val="clear"/>
            <w:vAlign w:val="center"/>
          </w:tcPr>
          <w:p>
            <w:pPr>
              <w:pStyle w:val="TableContents"/>
              <w:bidi w:val="0"/>
              <w:spacing w:before="0" w:after="283"/>
              <w:jc w:val="left"/>
              <w:rPr>
                <w:sz w:val="20"/>
              </w:rPr>
            </w:pPr>
            <w:r>
              <w:rPr>
                <w:sz w:val="20"/>
              </w:rPr>
              <w:t>Waiver of Past Defaults.</w:t>
            </w:r>
          </w:p>
        </w:tc>
        <w:tc>
          <w:tcPr>
            <w:tcW w:w="275" w:type="dxa"/>
            <w:tcBorders/>
            <w:shd w:fill="FFFFFF" w:val="clear"/>
            <w:vAlign w:val="center"/>
          </w:tcPr>
          <w:p>
            <w:pPr>
              <w:pStyle w:val="TableContents"/>
              <w:bidi w:val="0"/>
              <w:spacing w:before="0" w:after="283"/>
              <w:ind w:left="0" w:right="0" w:hanging="0"/>
              <w:jc w:val="center"/>
              <w:rPr>
                <w:sz w:val="20"/>
              </w:rPr>
            </w:pPr>
            <w:r>
              <w:rPr>
                <w:sz w:val="20"/>
              </w:rPr>
              <w:t>34</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5.14</w:t>
            </w:r>
          </w:p>
        </w:tc>
        <w:tc>
          <w:tcPr>
            <w:tcW w:w="8195" w:type="dxa"/>
            <w:tcBorders/>
            <w:shd w:fill="CCEEFF" w:val="clear"/>
            <w:vAlign w:val="center"/>
          </w:tcPr>
          <w:p>
            <w:pPr>
              <w:pStyle w:val="TableContents"/>
              <w:bidi w:val="0"/>
              <w:spacing w:before="0" w:after="283"/>
              <w:jc w:val="left"/>
              <w:rPr>
                <w:sz w:val="20"/>
              </w:rPr>
            </w:pPr>
            <w:r>
              <w:rPr>
                <w:sz w:val="20"/>
              </w:rPr>
              <w:t>Undertaking for Costs.</w:t>
            </w:r>
          </w:p>
        </w:tc>
        <w:tc>
          <w:tcPr>
            <w:tcW w:w="275" w:type="dxa"/>
            <w:tcBorders/>
            <w:shd w:fill="CCEEFF" w:val="clear"/>
            <w:vAlign w:val="center"/>
          </w:tcPr>
          <w:p>
            <w:pPr>
              <w:pStyle w:val="TableContents"/>
              <w:bidi w:val="0"/>
              <w:spacing w:before="0" w:after="283"/>
              <w:ind w:left="0" w:right="0" w:hanging="0"/>
              <w:jc w:val="center"/>
              <w:rPr>
                <w:sz w:val="20"/>
              </w:rPr>
            </w:pPr>
            <w:r>
              <w:rPr>
                <w:sz w:val="20"/>
              </w:rPr>
              <w:t>34</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5.15</w:t>
            </w:r>
          </w:p>
        </w:tc>
        <w:tc>
          <w:tcPr>
            <w:tcW w:w="8195" w:type="dxa"/>
            <w:tcBorders/>
            <w:shd w:fill="FFFFFF" w:val="clear"/>
            <w:vAlign w:val="center"/>
          </w:tcPr>
          <w:p>
            <w:pPr>
              <w:pStyle w:val="TableContents"/>
              <w:bidi w:val="0"/>
              <w:spacing w:before="0" w:after="283"/>
              <w:jc w:val="left"/>
              <w:rPr>
                <w:sz w:val="20"/>
              </w:rPr>
            </w:pPr>
            <w:r>
              <w:rPr>
                <w:sz w:val="20"/>
              </w:rPr>
              <w:t>Waiver of Usury, Stay or Extension Laws.</w:t>
            </w:r>
          </w:p>
        </w:tc>
        <w:tc>
          <w:tcPr>
            <w:tcW w:w="275" w:type="dxa"/>
            <w:tcBorders/>
            <w:shd w:fill="FFFFFF" w:val="clear"/>
            <w:vAlign w:val="center"/>
          </w:tcPr>
          <w:p>
            <w:pPr>
              <w:pStyle w:val="TableContents"/>
              <w:bidi w:val="0"/>
              <w:spacing w:before="0" w:after="283"/>
              <w:jc w:val="center"/>
              <w:rPr/>
            </w:pPr>
            <w:r>
              <w:rPr/>
              <w:t>34</w:t>
            </w:r>
          </w:p>
        </w:tc>
      </w:tr>
      <w:tr>
        <w:trPr/>
        <w:tc>
          <w:tcPr>
            <w:tcW w:w="1055"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250" w:type="dxa"/>
            <w:gridSpan w:val="2"/>
            <w:tcBorders/>
            <w:shd w:fill="FFFFFF" w:val="clear"/>
            <w:vAlign w:val="center"/>
          </w:tcPr>
          <w:p>
            <w:pPr>
              <w:pStyle w:val="TableContents"/>
              <w:bidi w:val="0"/>
              <w:spacing w:before="0" w:after="283"/>
              <w:jc w:val="left"/>
              <w:rPr>
                <w:b/>
                <w:sz w:val="20"/>
              </w:rPr>
            </w:pPr>
            <w:r>
              <w:rPr>
                <w:b/>
                <w:sz w:val="20"/>
              </w:rPr>
              <w:t>ARTICLE VI THE TRUSTEE</w:t>
            </w:r>
          </w:p>
        </w:tc>
        <w:tc>
          <w:tcPr>
            <w:tcW w:w="275" w:type="dxa"/>
            <w:tcBorders/>
            <w:shd w:fill="FFFFFF" w:val="clear"/>
            <w:vAlign w:val="center"/>
          </w:tcPr>
          <w:p>
            <w:pPr>
              <w:pStyle w:val="TableContents"/>
              <w:bidi w:val="0"/>
              <w:spacing w:before="0" w:after="283"/>
              <w:ind w:left="0" w:right="0" w:hanging="0"/>
              <w:jc w:val="center"/>
              <w:rPr>
                <w:b/>
                <w:sz w:val="20"/>
              </w:rPr>
            </w:pPr>
            <w:r>
              <w:rPr>
                <w:b/>
                <w:sz w:val="20"/>
              </w:rPr>
              <w:t>34</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6.01</w:t>
            </w:r>
          </w:p>
        </w:tc>
        <w:tc>
          <w:tcPr>
            <w:tcW w:w="8195" w:type="dxa"/>
            <w:tcBorders/>
            <w:shd w:fill="CCEEFF" w:val="clear"/>
            <w:vAlign w:val="center"/>
          </w:tcPr>
          <w:p>
            <w:pPr>
              <w:pStyle w:val="TableContents"/>
              <w:bidi w:val="0"/>
              <w:spacing w:before="0" w:after="283"/>
              <w:jc w:val="left"/>
              <w:rPr>
                <w:sz w:val="20"/>
              </w:rPr>
            </w:pPr>
            <w:r>
              <w:rPr>
                <w:sz w:val="20"/>
              </w:rPr>
              <w:t>Certain Duties and Responsibilities.</w:t>
            </w:r>
          </w:p>
        </w:tc>
        <w:tc>
          <w:tcPr>
            <w:tcW w:w="275" w:type="dxa"/>
            <w:tcBorders/>
            <w:shd w:fill="CCEEFF" w:val="clear"/>
            <w:vAlign w:val="center"/>
          </w:tcPr>
          <w:p>
            <w:pPr>
              <w:pStyle w:val="TableContents"/>
              <w:bidi w:val="0"/>
              <w:spacing w:before="0" w:after="283"/>
              <w:ind w:left="0" w:right="0" w:hanging="0"/>
              <w:jc w:val="center"/>
              <w:rPr>
                <w:sz w:val="20"/>
              </w:rPr>
            </w:pPr>
            <w:r>
              <w:rPr>
                <w:sz w:val="20"/>
              </w:rPr>
              <w:t>34</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6.02</w:t>
            </w:r>
          </w:p>
        </w:tc>
        <w:tc>
          <w:tcPr>
            <w:tcW w:w="8195" w:type="dxa"/>
            <w:tcBorders/>
            <w:shd w:fill="FFFFFF" w:val="clear"/>
            <w:vAlign w:val="center"/>
          </w:tcPr>
          <w:p>
            <w:pPr>
              <w:pStyle w:val="TableContents"/>
              <w:bidi w:val="0"/>
              <w:spacing w:before="0" w:after="283"/>
              <w:jc w:val="left"/>
              <w:rPr>
                <w:sz w:val="20"/>
              </w:rPr>
            </w:pPr>
            <w:r>
              <w:rPr>
                <w:sz w:val="20"/>
              </w:rPr>
              <w:t>Notice of Defaults.</w:t>
            </w:r>
          </w:p>
        </w:tc>
        <w:tc>
          <w:tcPr>
            <w:tcW w:w="275" w:type="dxa"/>
            <w:tcBorders/>
            <w:shd w:fill="FFFFFF" w:val="clear"/>
            <w:vAlign w:val="center"/>
          </w:tcPr>
          <w:p>
            <w:pPr>
              <w:pStyle w:val="TableContents"/>
              <w:bidi w:val="0"/>
              <w:spacing w:before="0" w:after="283"/>
              <w:ind w:left="0" w:right="0" w:hanging="0"/>
              <w:jc w:val="center"/>
              <w:rPr>
                <w:sz w:val="20"/>
              </w:rPr>
            </w:pPr>
            <w:r>
              <w:rPr>
                <w:sz w:val="20"/>
              </w:rPr>
              <w:t>36</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6.03</w:t>
            </w:r>
          </w:p>
        </w:tc>
        <w:tc>
          <w:tcPr>
            <w:tcW w:w="8195" w:type="dxa"/>
            <w:tcBorders/>
            <w:shd w:fill="CCEEFF" w:val="clear"/>
            <w:vAlign w:val="center"/>
          </w:tcPr>
          <w:p>
            <w:pPr>
              <w:pStyle w:val="TableContents"/>
              <w:bidi w:val="0"/>
              <w:spacing w:before="0" w:after="283"/>
              <w:jc w:val="left"/>
              <w:rPr>
                <w:sz w:val="20"/>
              </w:rPr>
            </w:pPr>
            <w:r>
              <w:rPr>
                <w:sz w:val="20"/>
              </w:rPr>
              <w:t>Certain Rights of Trustee.</w:t>
            </w:r>
          </w:p>
        </w:tc>
        <w:tc>
          <w:tcPr>
            <w:tcW w:w="275" w:type="dxa"/>
            <w:tcBorders/>
            <w:shd w:fill="CCEEFF" w:val="clear"/>
            <w:vAlign w:val="center"/>
          </w:tcPr>
          <w:p>
            <w:pPr>
              <w:pStyle w:val="TableContents"/>
              <w:bidi w:val="0"/>
              <w:spacing w:before="0" w:after="283"/>
              <w:ind w:left="0" w:right="0" w:hanging="0"/>
              <w:jc w:val="center"/>
              <w:rPr>
                <w:sz w:val="20"/>
              </w:rPr>
            </w:pPr>
            <w:r>
              <w:rPr>
                <w:sz w:val="20"/>
              </w:rPr>
              <w:t>36</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6.04</w:t>
            </w:r>
          </w:p>
        </w:tc>
        <w:tc>
          <w:tcPr>
            <w:tcW w:w="8195" w:type="dxa"/>
            <w:tcBorders/>
            <w:shd w:fill="FFFFFF" w:val="clear"/>
            <w:vAlign w:val="center"/>
          </w:tcPr>
          <w:p>
            <w:pPr>
              <w:pStyle w:val="TableContents"/>
              <w:bidi w:val="0"/>
              <w:spacing w:before="0" w:after="283"/>
              <w:jc w:val="left"/>
              <w:rPr>
                <w:sz w:val="20"/>
              </w:rPr>
            </w:pPr>
            <w:r>
              <w:rPr>
                <w:sz w:val="20"/>
              </w:rPr>
              <w:t>Not Responsible for Recitals or Issuance of Securities.</w:t>
            </w:r>
          </w:p>
        </w:tc>
        <w:tc>
          <w:tcPr>
            <w:tcW w:w="275" w:type="dxa"/>
            <w:tcBorders/>
            <w:shd w:fill="FFFFFF" w:val="clear"/>
            <w:vAlign w:val="center"/>
          </w:tcPr>
          <w:p>
            <w:pPr>
              <w:pStyle w:val="TableContents"/>
              <w:bidi w:val="0"/>
              <w:spacing w:before="0" w:after="283"/>
              <w:ind w:left="0" w:right="0" w:hanging="0"/>
              <w:jc w:val="center"/>
              <w:rPr>
                <w:sz w:val="20"/>
              </w:rPr>
            </w:pPr>
            <w:r>
              <w:rPr>
                <w:sz w:val="20"/>
              </w:rPr>
              <w:t>38</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6.05</w:t>
            </w:r>
          </w:p>
        </w:tc>
        <w:tc>
          <w:tcPr>
            <w:tcW w:w="8195" w:type="dxa"/>
            <w:tcBorders/>
            <w:shd w:fill="CCEEFF" w:val="clear"/>
            <w:vAlign w:val="center"/>
          </w:tcPr>
          <w:p>
            <w:pPr>
              <w:pStyle w:val="TableContents"/>
              <w:bidi w:val="0"/>
              <w:spacing w:before="0" w:after="283"/>
              <w:jc w:val="left"/>
              <w:rPr>
                <w:sz w:val="20"/>
              </w:rPr>
            </w:pPr>
            <w:r>
              <w:rPr>
                <w:sz w:val="20"/>
              </w:rPr>
              <w:t>May Hold Securities.</w:t>
            </w:r>
          </w:p>
        </w:tc>
        <w:tc>
          <w:tcPr>
            <w:tcW w:w="275" w:type="dxa"/>
            <w:tcBorders/>
            <w:shd w:fill="CCEEFF" w:val="clear"/>
            <w:vAlign w:val="center"/>
          </w:tcPr>
          <w:p>
            <w:pPr>
              <w:pStyle w:val="TableContents"/>
              <w:bidi w:val="0"/>
              <w:spacing w:before="0" w:after="283"/>
              <w:ind w:left="0" w:right="0" w:hanging="0"/>
              <w:jc w:val="center"/>
              <w:rPr>
                <w:sz w:val="20"/>
              </w:rPr>
            </w:pPr>
            <w:r>
              <w:rPr>
                <w:sz w:val="20"/>
              </w:rPr>
              <w:t>38</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6.06</w:t>
            </w:r>
          </w:p>
        </w:tc>
        <w:tc>
          <w:tcPr>
            <w:tcW w:w="8195" w:type="dxa"/>
            <w:tcBorders/>
            <w:shd w:fill="FFFFFF" w:val="clear"/>
            <w:vAlign w:val="center"/>
          </w:tcPr>
          <w:p>
            <w:pPr>
              <w:pStyle w:val="TableContents"/>
              <w:bidi w:val="0"/>
              <w:spacing w:before="0" w:after="283"/>
              <w:jc w:val="left"/>
              <w:rPr>
                <w:sz w:val="20"/>
              </w:rPr>
            </w:pPr>
            <w:r>
              <w:rPr>
                <w:sz w:val="20"/>
              </w:rPr>
              <w:t>Money Held in Trust.</w:t>
            </w:r>
          </w:p>
        </w:tc>
        <w:tc>
          <w:tcPr>
            <w:tcW w:w="275" w:type="dxa"/>
            <w:tcBorders/>
            <w:shd w:fill="FFFFFF" w:val="clear"/>
            <w:vAlign w:val="center"/>
          </w:tcPr>
          <w:p>
            <w:pPr>
              <w:pStyle w:val="TableContents"/>
              <w:bidi w:val="0"/>
              <w:spacing w:before="0" w:after="283"/>
              <w:ind w:left="0" w:right="0" w:hanging="0"/>
              <w:jc w:val="center"/>
              <w:rPr>
                <w:sz w:val="20"/>
              </w:rPr>
            </w:pPr>
            <w:r>
              <w:rPr>
                <w:sz w:val="20"/>
              </w:rPr>
              <w:t>38</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6.07</w:t>
            </w:r>
          </w:p>
        </w:tc>
        <w:tc>
          <w:tcPr>
            <w:tcW w:w="8195" w:type="dxa"/>
            <w:tcBorders/>
            <w:shd w:fill="CCEEFF" w:val="clear"/>
            <w:vAlign w:val="center"/>
          </w:tcPr>
          <w:p>
            <w:pPr>
              <w:pStyle w:val="TableContents"/>
              <w:bidi w:val="0"/>
              <w:spacing w:before="0" w:after="283"/>
              <w:jc w:val="left"/>
              <w:rPr>
                <w:sz w:val="20"/>
              </w:rPr>
            </w:pPr>
            <w:r>
              <w:rPr>
                <w:sz w:val="20"/>
              </w:rPr>
              <w:t>Compensation and Reimbursement.</w:t>
            </w:r>
          </w:p>
        </w:tc>
        <w:tc>
          <w:tcPr>
            <w:tcW w:w="275" w:type="dxa"/>
            <w:tcBorders/>
            <w:shd w:fill="CCEEFF" w:val="clear"/>
            <w:vAlign w:val="center"/>
          </w:tcPr>
          <w:p>
            <w:pPr>
              <w:pStyle w:val="TableContents"/>
              <w:bidi w:val="0"/>
              <w:spacing w:before="0" w:after="283"/>
              <w:ind w:left="0" w:right="0" w:hanging="0"/>
              <w:jc w:val="center"/>
              <w:rPr>
                <w:sz w:val="20"/>
              </w:rPr>
            </w:pPr>
            <w:r>
              <w:rPr>
                <w:sz w:val="20"/>
              </w:rPr>
              <w:t>38</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6.08</w:t>
            </w:r>
          </w:p>
        </w:tc>
        <w:tc>
          <w:tcPr>
            <w:tcW w:w="8195" w:type="dxa"/>
            <w:tcBorders/>
            <w:shd w:fill="FFFFFF" w:val="clear"/>
            <w:vAlign w:val="center"/>
          </w:tcPr>
          <w:p>
            <w:pPr>
              <w:pStyle w:val="TableContents"/>
              <w:bidi w:val="0"/>
              <w:spacing w:before="0" w:after="283"/>
              <w:jc w:val="left"/>
              <w:rPr>
                <w:sz w:val="20"/>
              </w:rPr>
            </w:pPr>
            <w:r>
              <w:rPr>
                <w:sz w:val="20"/>
              </w:rPr>
              <w:t>Conflicting Interests.</w:t>
            </w:r>
          </w:p>
        </w:tc>
        <w:tc>
          <w:tcPr>
            <w:tcW w:w="275" w:type="dxa"/>
            <w:tcBorders/>
            <w:shd w:fill="FFFFFF" w:val="clear"/>
            <w:vAlign w:val="center"/>
          </w:tcPr>
          <w:p>
            <w:pPr>
              <w:pStyle w:val="TableContents"/>
              <w:bidi w:val="0"/>
              <w:spacing w:before="0" w:after="283"/>
              <w:ind w:left="0" w:right="0" w:hanging="0"/>
              <w:jc w:val="center"/>
              <w:rPr>
                <w:sz w:val="20"/>
              </w:rPr>
            </w:pPr>
            <w:r>
              <w:rPr>
                <w:sz w:val="20"/>
              </w:rPr>
              <w:t>39</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6.09</w:t>
            </w:r>
          </w:p>
        </w:tc>
        <w:tc>
          <w:tcPr>
            <w:tcW w:w="8195" w:type="dxa"/>
            <w:tcBorders/>
            <w:shd w:fill="CCEEFF" w:val="clear"/>
            <w:vAlign w:val="center"/>
          </w:tcPr>
          <w:p>
            <w:pPr>
              <w:pStyle w:val="TableContents"/>
              <w:bidi w:val="0"/>
              <w:spacing w:before="0" w:after="283"/>
              <w:jc w:val="left"/>
              <w:rPr>
                <w:sz w:val="20"/>
              </w:rPr>
            </w:pPr>
            <w:r>
              <w:rPr>
                <w:sz w:val="20"/>
              </w:rPr>
              <w:t>Corporate Trustee Required, Eligibility.</w:t>
            </w:r>
          </w:p>
        </w:tc>
        <w:tc>
          <w:tcPr>
            <w:tcW w:w="275" w:type="dxa"/>
            <w:tcBorders/>
            <w:shd w:fill="CCEEFF" w:val="clear"/>
            <w:vAlign w:val="center"/>
          </w:tcPr>
          <w:p>
            <w:pPr>
              <w:pStyle w:val="TableContents"/>
              <w:bidi w:val="0"/>
              <w:spacing w:before="0" w:after="283"/>
              <w:ind w:left="0" w:right="0" w:hanging="0"/>
              <w:jc w:val="center"/>
              <w:rPr>
                <w:sz w:val="20"/>
              </w:rPr>
            </w:pPr>
            <w:r>
              <w:rPr>
                <w:sz w:val="20"/>
              </w:rPr>
              <w:t>39</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6.10</w:t>
            </w:r>
          </w:p>
        </w:tc>
        <w:tc>
          <w:tcPr>
            <w:tcW w:w="8195" w:type="dxa"/>
            <w:tcBorders/>
            <w:shd w:fill="FFFFFF" w:val="clear"/>
            <w:vAlign w:val="center"/>
          </w:tcPr>
          <w:p>
            <w:pPr>
              <w:pStyle w:val="TableContents"/>
              <w:bidi w:val="0"/>
              <w:spacing w:before="0" w:after="283"/>
              <w:jc w:val="left"/>
              <w:rPr>
                <w:sz w:val="20"/>
              </w:rPr>
            </w:pPr>
            <w:r>
              <w:rPr>
                <w:sz w:val="20"/>
              </w:rPr>
              <w:t>Resignation and Removal, Appointment of Successor.</w:t>
            </w:r>
          </w:p>
        </w:tc>
        <w:tc>
          <w:tcPr>
            <w:tcW w:w="275" w:type="dxa"/>
            <w:tcBorders/>
            <w:shd w:fill="FFFFFF" w:val="clear"/>
            <w:vAlign w:val="center"/>
          </w:tcPr>
          <w:p>
            <w:pPr>
              <w:pStyle w:val="TableContents"/>
              <w:bidi w:val="0"/>
              <w:spacing w:before="0" w:after="283"/>
              <w:ind w:left="0" w:right="0" w:hanging="0"/>
              <w:jc w:val="center"/>
              <w:rPr>
                <w:sz w:val="20"/>
              </w:rPr>
            </w:pPr>
            <w:r>
              <w:rPr>
                <w:sz w:val="20"/>
              </w:rPr>
              <w:t>39</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6.11</w:t>
            </w:r>
          </w:p>
        </w:tc>
        <w:tc>
          <w:tcPr>
            <w:tcW w:w="8195" w:type="dxa"/>
            <w:tcBorders/>
            <w:shd w:fill="CCEEFF" w:val="clear"/>
            <w:vAlign w:val="center"/>
          </w:tcPr>
          <w:p>
            <w:pPr>
              <w:pStyle w:val="TableContents"/>
              <w:bidi w:val="0"/>
              <w:spacing w:before="0" w:after="283"/>
              <w:jc w:val="left"/>
              <w:rPr>
                <w:sz w:val="20"/>
              </w:rPr>
            </w:pPr>
            <w:r>
              <w:rPr>
                <w:sz w:val="20"/>
              </w:rPr>
              <w:t>Acceptance of Appointment by Successor.</w:t>
            </w:r>
          </w:p>
        </w:tc>
        <w:tc>
          <w:tcPr>
            <w:tcW w:w="275" w:type="dxa"/>
            <w:tcBorders/>
            <w:shd w:fill="CCEEFF" w:val="clear"/>
            <w:vAlign w:val="center"/>
          </w:tcPr>
          <w:p>
            <w:pPr>
              <w:pStyle w:val="TableContents"/>
              <w:bidi w:val="0"/>
              <w:spacing w:before="0" w:after="283"/>
              <w:ind w:left="0" w:right="0" w:hanging="0"/>
              <w:jc w:val="center"/>
              <w:rPr>
                <w:sz w:val="20"/>
              </w:rPr>
            </w:pPr>
            <w:r>
              <w:rPr>
                <w:sz w:val="20"/>
              </w:rPr>
              <w:t>40</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6.12</w:t>
            </w:r>
          </w:p>
        </w:tc>
        <w:tc>
          <w:tcPr>
            <w:tcW w:w="8195" w:type="dxa"/>
            <w:tcBorders/>
            <w:shd w:fill="FFFFFF" w:val="clear"/>
            <w:vAlign w:val="center"/>
          </w:tcPr>
          <w:p>
            <w:pPr>
              <w:pStyle w:val="TableContents"/>
              <w:bidi w:val="0"/>
              <w:spacing w:before="0" w:after="283"/>
              <w:jc w:val="left"/>
              <w:rPr>
                <w:sz w:val="20"/>
              </w:rPr>
            </w:pPr>
            <w:r>
              <w:rPr>
                <w:sz w:val="20"/>
              </w:rPr>
              <w:t>Merger, Conversion, Consolidation or Succession to Business.</w:t>
            </w:r>
          </w:p>
        </w:tc>
        <w:tc>
          <w:tcPr>
            <w:tcW w:w="275" w:type="dxa"/>
            <w:tcBorders/>
            <w:shd w:fill="FFFFFF" w:val="clear"/>
            <w:vAlign w:val="center"/>
          </w:tcPr>
          <w:p>
            <w:pPr>
              <w:pStyle w:val="TableContents"/>
              <w:bidi w:val="0"/>
              <w:spacing w:before="0" w:after="283"/>
              <w:ind w:left="0" w:right="0" w:hanging="0"/>
              <w:jc w:val="center"/>
              <w:rPr>
                <w:sz w:val="20"/>
              </w:rPr>
            </w:pPr>
            <w:r>
              <w:rPr>
                <w:sz w:val="20"/>
              </w:rPr>
              <w:t>40</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6.13</w:t>
            </w:r>
          </w:p>
        </w:tc>
        <w:tc>
          <w:tcPr>
            <w:tcW w:w="8195" w:type="dxa"/>
            <w:tcBorders/>
            <w:shd w:fill="CCEEFF" w:val="clear"/>
            <w:vAlign w:val="center"/>
          </w:tcPr>
          <w:p>
            <w:pPr>
              <w:pStyle w:val="TableContents"/>
              <w:bidi w:val="0"/>
              <w:spacing w:before="0" w:after="283"/>
              <w:jc w:val="left"/>
              <w:rPr>
                <w:sz w:val="20"/>
              </w:rPr>
            </w:pPr>
            <w:r>
              <w:rPr>
                <w:sz w:val="20"/>
              </w:rPr>
              <w:t>Preferential Collection of Claims Against Company.</w:t>
            </w:r>
          </w:p>
        </w:tc>
        <w:tc>
          <w:tcPr>
            <w:tcW w:w="275" w:type="dxa"/>
            <w:tcBorders/>
            <w:shd w:fill="CCEEFF" w:val="clear"/>
            <w:vAlign w:val="center"/>
          </w:tcPr>
          <w:p>
            <w:pPr>
              <w:pStyle w:val="TableContents"/>
              <w:bidi w:val="0"/>
              <w:spacing w:before="0" w:after="283"/>
              <w:ind w:left="0" w:right="0" w:hanging="0"/>
              <w:jc w:val="center"/>
              <w:rPr>
                <w:sz w:val="20"/>
              </w:rPr>
            </w:pPr>
            <w:r>
              <w:rPr>
                <w:sz w:val="20"/>
              </w:rPr>
              <w:t>42</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6.14</w:t>
            </w:r>
          </w:p>
        </w:tc>
        <w:tc>
          <w:tcPr>
            <w:tcW w:w="8195" w:type="dxa"/>
            <w:tcBorders/>
            <w:shd w:fill="FFFFFF" w:val="clear"/>
            <w:vAlign w:val="center"/>
          </w:tcPr>
          <w:p>
            <w:pPr>
              <w:pStyle w:val="TableContents"/>
              <w:bidi w:val="0"/>
              <w:spacing w:before="0" w:after="283"/>
              <w:jc w:val="left"/>
              <w:rPr>
                <w:sz w:val="20"/>
              </w:rPr>
            </w:pPr>
            <w:r>
              <w:rPr>
                <w:sz w:val="20"/>
              </w:rPr>
              <w:t>Appointment of Authenticating Agent.</w:t>
            </w:r>
          </w:p>
        </w:tc>
        <w:tc>
          <w:tcPr>
            <w:tcW w:w="275" w:type="dxa"/>
            <w:tcBorders/>
            <w:shd w:fill="FFFFFF" w:val="clear"/>
            <w:vAlign w:val="center"/>
          </w:tcPr>
          <w:p>
            <w:pPr>
              <w:pStyle w:val="TableContents"/>
              <w:bidi w:val="0"/>
              <w:spacing w:before="0" w:after="283"/>
              <w:jc w:val="center"/>
              <w:rPr>
                <w:sz w:val="20"/>
              </w:rPr>
            </w:pPr>
            <w:r>
              <w:rPr>
                <w:sz w:val="20"/>
              </w:rPr>
              <w:t>42</w:t>
            </w:r>
          </w:p>
        </w:tc>
      </w:tr>
      <w:tr>
        <w:trPr/>
        <w:tc>
          <w:tcPr>
            <w:tcW w:w="1055"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250" w:type="dxa"/>
            <w:gridSpan w:val="2"/>
            <w:tcBorders/>
            <w:shd w:fill="FFFFFF" w:val="clear"/>
            <w:vAlign w:val="center"/>
          </w:tcPr>
          <w:p>
            <w:pPr>
              <w:pStyle w:val="TableContents"/>
              <w:bidi w:val="0"/>
              <w:spacing w:before="0" w:after="283"/>
              <w:jc w:val="left"/>
              <w:rPr>
                <w:b/>
                <w:sz w:val="20"/>
              </w:rPr>
            </w:pPr>
            <w:r>
              <w:rPr>
                <w:b/>
                <w:sz w:val="20"/>
              </w:rPr>
              <w:t>ARTICLE VII HOLDERS’ LISTS AND REPORTS BY TRUSTEE AND COMPANY</w:t>
            </w:r>
          </w:p>
        </w:tc>
        <w:tc>
          <w:tcPr>
            <w:tcW w:w="275" w:type="dxa"/>
            <w:tcBorders/>
            <w:shd w:fill="FFFFFF" w:val="clear"/>
            <w:vAlign w:val="center"/>
          </w:tcPr>
          <w:p>
            <w:pPr>
              <w:pStyle w:val="TableContents"/>
              <w:bidi w:val="0"/>
              <w:spacing w:before="0" w:after="283"/>
              <w:ind w:left="0" w:right="0" w:hanging="0"/>
              <w:jc w:val="center"/>
              <w:rPr>
                <w:b/>
                <w:sz w:val="20"/>
              </w:rPr>
            </w:pPr>
            <w:r>
              <w:rPr>
                <w:b/>
                <w:sz w:val="20"/>
              </w:rPr>
              <w:t>44</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7.01</w:t>
            </w:r>
          </w:p>
        </w:tc>
        <w:tc>
          <w:tcPr>
            <w:tcW w:w="8195" w:type="dxa"/>
            <w:tcBorders/>
            <w:shd w:fill="CCEEFF" w:val="clear"/>
            <w:vAlign w:val="center"/>
          </w:tcPr>
          <w:p>
            <w:pPr>
              <w:pStyle w:val="TableContents"/>
              <w:bidi w:val="0"/>
              <w:spacing w:before="0" w:after="283"/>
              <w:jc w:val="left"/>
              <w:rPr>
                <w:sz w:val="20"/>
              </w:rPr>
            </w:pPr>
            <w:r>
              <w:rPr>
                <w:sz w:val="20"/>
              </w:rPr>
              <w:t>Company to Furnish Trustee Names and Addresses of Holders.</w:t>
            </w:r>
          </w:p>
        </w:tc>
        <w:tc>
          <w:tcPr>
            <w:tcW w:w="275" w:type="dxa"/>
            <w:tcBorders/>
            <w:shd w:fill="CCEEFF" w:val="clear"/>
            <w:vAlign w:val="center"/>
          </w:tcPr>
          <w:p>
            <w:pPr>
              <w:pStyle w:val="TableContents"/>
              <w:bidi w:val="0"/>
              <w:spacing w:before="0" w:after="283"/>
              <w:ind w:left="0" w:right="0" w:hanging="0"/>
              <w:jc w:val="center"/>
              <w:rPr>
                <w:sz w:val="20"/>
              </w:rPr>
            </w:pPr>
            <w:r>
              <w:rPr>
                <w:sz w:val="20"/>
              </w:rPr>
              <w:t>44</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7.02</w:t>
            </w:r>
          </w:p>
        </w:tc>
        <w:tc>
          <w:tcPr>
            <w:tcW w:w="8195" w:type="dxa"/>
            <w:tcBorders/>
            <w:shd w:fill="FFFFFF" w:val="clear"/>
            <w:vAlign w:val="center"/>
          </w:tcPr>
          <w:p>
            <w:pPr>
              <w:pStyle w:val="TableContents"/>
              <w:bidi w:val="0"/>
              <w:spacing w:before="0" w:after="283"/>
              <w:jc w:val="left"/>
              <w:rPr>
                <w:sz w:val="20"/>
              </w:rPr>
            </w:pPr>
            <w:r>
              <w:rPr>
                <w:sz w:val="20"/>
              </w:rPr>
              <w:t>Preservation of Information; Communications to Holders.</w:t>
            </w:r>
          </w:p>
        </w:tc>
        <w:tc>
          <w:tcPr>
            <w:tcW w:w="275" w:type="dxa"/>
            <w:tcBorders/>
            <w:shd w:fill="FFFFFF" w:val="clear"/>
            <w:vAlign w:val="center"/>
          </w:tcPr>
          <w:p>
            <w:pPr>
              <w:pStyle w:val="TableContents"/>
              <w:bidi w:val="0"/>
              <w:spacing w:before="0" w:after="283"/>
              <w:ind w:left="0" w:right="0" w:hanging="0"/>
              <w:jc w:val="center"/>
              <w:rPr/>
            </w:pPr>
            <w:r>
              <w:rPr/>
              <w:t>44</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7.03</w:t>
            </w:r>
          </w:p>
        </w:tc>
        <w:tc>
          <w:tcPr>
            <w:tcW w:w="8195" w:type="dxa"/>
            <w:tcBorders/>
            <w:shd w:fill="CCEEFF" w:val="clear"/>
            <w:vAlign w:val="center"/>
          </w:tcPr>
          <w:p>
            <w:pPr>
              <w:pStyle w:val="TableContents"/>
              <w:bidi w:val="0"/>
              <w:spacing w:before="0" w:after="283"/>
              <w:jc w:val="left"/>
              <w:rPr>
                <w:sz w:val="20"/>
              </w:rPr>
            </w:pPr>
            <w:r>
              <w:rPr>
                <w:sz w:val="20"/>
              </w:rPr>
              <w:t>Reports by Trustee.</w:t>
            </w:r>
          </w:p>
        </w:tc>
        <w:tc>
          <w:tcPr>
            <w:tcW w:w="275" w:type="dxa"/>
            <w:tcBorders/>
            <w:shd w:fill="CCEEFF" w:val="clear"/>
            <w:vAlign w:val="center"/>
          </w:tcPr>
          <w:p>
            <w:pPr>
              <w:pStyle w:val="TableContents"/>
              <w:bidi w:val="0"/>
              <w:spacing w:before="0" w:after="283"/>
              <w:ind w:left="0" w:right="0" w:hanging="0"/>
              <w:jc w:val="center"/>
              <w:rPr>
                <w:sz w:val="20"/>
              </w:rPr>
            </w:pPr>
            <w:r>
              <w:rPr>
                <w:sz w:val="20"/>
              </w:rPr>
              <w:t>45</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7.04</w:t>
            </w:r>
          </w:p>
        </w:tc>
        <w:tc>
          <w:tcPr>
            <w:tcW w:w="8195" w:type="dxa"/>
            <w:tcBorders/>
            <w:shd w:fill="FFFFFF" w:val="clear"/>
            <w:vAlign w:val="center"/>
          </w:tcPr>
          <w:p>
            <w:pPr>
              <w:pStyle w:val="TableContents"/>
              <w:bidi w:val="0"/>
              <w:spacing w:before="0" w:after="283"/>
              <w:jc w:val="left"/>
              <w:rPr>
                <w:sz w:val="20"/>
              </w:rPr>
            </w:pPr>
            <w:r>
              <w:rPr>
                <w:sz w:val="20"/>
              </w:rPr>
              <w:t>Reports by Company.</w:t>
            </w:r>
          </w:p>
        </w:tc>
        <w:tc>
          <w:tcPr>
            <w:tcW w:w="275" w:type="dxa"/>
            <w:tcBorders/>
            <w:shd w:fill="FFFFFF" w:val="clear"/>
            <w:vAlign w:val="center"/>
          </w:tcPr>
          <w:p>
            <w:pPr>
              <w:pStyle w:val="TableContents"/>
              <w:bidi w:val="0"/>
              <w:spacing w:before="0" w:after="283"/>
              <w:ind w:left="0" w:right="0" w:hanging="0"/>
              <w:jc w:val="center"/>
              <w:rPr>
                <w:sz w:val="20"/>
              </w:rPr>
            </w:pPr>
            <w:r>
              <w:rPr>
                <w:sz w:val="20"/>
              </w:rPr>
              <w:t>45</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7.05</w:t>
            </w:r>
          </w:p>
        </w:tc>
        <w:tc>
          <w:tcPr>
            <w:tcW w:w="8195" w:type="dxa"/>
            <w:tcBorders/>
            <w:shd w:fill="CCEEFF" w:val="clear"/>
            <w:vAlign w:val="center"/>
          </w:tcPr>
          <w:p>
            <w:pPr>
              <w:pStyle w:val="TableContents"/>
              <w:bidi w:val="0"/>
              <w:spacing w:before="0" w:after="283"/>
              <w:jc w:val="left"/>
              <w:rPr>
                <w:sz w:val="20"/>
              </w:rPr>
            </w:pPr>
            <w:r>
              <w:rPr>
                <w:sz w:val="20"/>
              </w:rPr>
              <w:t>Calculation of Original Issue Discount.</w:t>
            </w:r>
          </w:p>
        </w:tc>
        <w:tc>
          <w:tcPr>
            <w:tcW w:w="275" w:type="dxa"/>
            <w:tcBorders/>
            <w:shd w:fill="CCEEFF" w:val="clear"/>
            <w:vAlign w:val="center"/>
          </w:tcPr>
          <w:p>
            <w:pPr>
              <w:pStyle w:val="TableContents"/>
              <w:bidi w:val="0"/>
              <w:spacing w:before="0" w:after="283"/>
              <w:jc w:val="center"/>
              <w:rPr>
                <w:sz w:val="20"/>
              </w:rPr>
            </w:pPr>
            <w:r>
              <w:rPr>
                <w:sz w:val="20"/>
              </w:rPr>
              <w:t>45</w:t>
            </w:r>
          </w:p>
        </w:tc>
      </w:tr>
      <w:tr>
        <w:trPr/>
        <w:tc>
          <w:tcPr>
            <w:tcW w:w="1055" w:type="dxa"/>
            <w:tcBorders/>
            <w:shd w:fill="FFFFFF" w:val="clear"/>
            <w:vAlign w:val="center"/>
          </w:tcPr>
          <w:p>
            <w:pPr>
              <w:pStyle w:val="TableContents"/>
              <w:bidi w:val="0"/>
              <w:spacing w:before="0" w:after="283"/>
              <w:jc w:val="left"/>
              <w:rPr/>
            </w:pPr>
            <w:r>
              <w:rPr/>
              <w:t> </w:t>
            </w:r>
          </w:p>
        </w:tc>
        <w:tc>
          <w:tcPr>
            <w:tcW w:w="81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250" w:type="dxa"/>
            <w:gridSpan w:val="2"/>
            <w:tcBorders/>
            <w:shd w:fill="CCEEFF" w:val="clear"/>
            <w:vAlign w:val="center"/>
          </w:tcPr>
          <w:p>
            <w:pPr>
              <w:pStyle w:val="TableContents"/>
              <w:bidi w:val="0"/>
              <w:spacing w:before="0" w:after="283"/>
              <w:jc w:val="left"/>
              <w:rPr>
                <w:b/>
                <w:sz w:val="20"/>
              </w:rPr>
            </w:pPr>
            <w:r>
              <w:rPr>
                <w:b/>
                <w:sz w:val="20"/>
              </w:rPr>
              <w:t>ARTICLE VIII CONSOLIDATION, MERGER, CONVEYANCE, TRANSFER OR LEASE</w:t>
            </w:r>
          </w:p>
        </w:tc>
        <w:tc>
          <w:tcPr>
            <w:tcW w:w="275" w:type="dxa"/>
            <w:tcBorders/>
            <w:shd w:fill="CCEEFF" w:val="clear"/>
            <w:vAlign w:val="center"/>
          </w:tcPr>
          <w:p>
            <w:pPr>
              <w:pStyle w:val="TableContents"/>
              <w:bidi w:val="0"/>
              <w:spacing w:before="0" w:after="283"/>
              <w:ind w:left="0" w:right="0" w:hanging="0"/>
              <w:jc w:val="center"/>
              <w:rPr>
                <w:b/>
                <w:sz w:val="20"/>
              </w:rPr>
            </w:pPr>
            <w:r>
              <w:rPr>
                <w:b/>
                <w:sz w:val="20"/>
              </w:rPr>
              <w:t>46</w:t>
            </w:r>
          </w:p>
        </w:tc>
      </w:tr>
      <w:tr>
        <w:trPr/>
        <w:tc>
          <w:tcPr>
            <w:tcW w:w="1055" w:type="dxa"/>
            <w:tcBorders/>
            <w:shd w:fill="FFFFFF" w:val="clear"/>
            <w:vAlign w:val="center"/>
          </w:tcPr>
          <w:p>
            <w:pPr>
              <w:pStyle w:val="TableContents"/>
              <w:bidi w:val="0"/>
              <w:spacing w:before="0" w:after="283"/>
              <w:ind w:left="0" w:right="0" w:hanging="0"/>
              <w:jc w:val="left"/>
              <w:rPr>
                <w:sz w:val="20"/>
              </w:rPr>
            </w:pPr>
            <w:r>
              <w:rPr>
                <w:sz w:val="20"/>
              </w:rPr>
              <w:t>Section 8.01</w:t>
            </w:r>
          </w:p>
        </w:tc>
        <w:tc>
          <w:tcPr>
            <w:tcW w:w="8195" w:type="dxa"/>
            <w:tcBorders/>
            <w:shd w:fill="FFFFFF" w:val="clear"/>
            <w:vAlign w:val="center"/>
          </w:tcPr>
          <w:p>
            <w:pPr>
              <w:pStyle w:val="TableContents"/>
              <w:bidi w:val="0"/>
              <w:spacing w:before="0" w:after="283"/>
              <w:jc w:val="left"/>
              <w:rPr>
                <w:sz w:val="20"/>
              </w:rPr>
            </w:pPr>
            <w:r>
              <w:rPr>
                <w:sz w:val="20"/>
              </w:rPr>
              <w:t>Company May Consolidate, Etc., Only on Certain Terms.</w:t>
            </w:r>
          </w:p>
        </w:tc>
        <w:tc>
          <w:tcPr>
            <w:tcW w:w="275" w:type="dxa"/>
            <w:tcBorders/>
            <w:shd w:fill="FFFFFF" w:val="clear"/>
            <w:vAlign w:val="center"/>
          </w:tcPr>
          <w:p>
            <w:pPr>
              <w:pStyle w:val="TableContents"/>
              <w:bidi w:val="0"/>
              <w:spacing w:before="0" w:after="283"/>
              <w:ind w:left="0" w:right="0" w:hanging="0"/>
              <w:jc w:val="center"/>
              <w:rPr>
                <w:sz w:val="20"/>
              </w:rPr>
            </w:pPr>
            <w:r>
              <w:rPr>
                <w:sz w:val="20"/>
              </w:rPr>
              <w:t>46</w:t>
            </w:r>
          </w:p>
        </w:tc>
      </w:tr>
      <w:tr>
        <w:trPr/>
        <w:tc>
          <w:tcPr>
            <w:tcW w:w="1055" w:type="dxa"/>
            <w:tcBorders/>
            <w:shd w:fill="CCEEFF" w:val="clear"/>
            <w:vAlign w:val="center"/>
          </w:tcPr>
          <w:p>
            <w:pPr>
              <w:pStyle w:val="TableContents"/>
              <w:bidi w:val="0"/>
              <w:spacing w:before="0" w:after="283"/>
              <w:ind w:left="0" w:right="0" w:hanging="0"/>
              <w:jc w:val="left"/>
              <w:rPr>
                <w:sz w:val="20"/>
              </w:rPr>
            </w:pPr>
            <w:r>
              <w:rPr>
                <w:sz w:val="20"/>
              </w:rPr>
              <w:t>Section 8.02</w:t>
            </w:r>
          </w:p>
        </w:tc>
        <w:tc>
          <w:tcPr>
            <w:tcW w:w="8195" w:type="dxa"/>
            <w:tcBorders/>
            <w:shd w:fill="CCEEFF" w:val="clear"/>
            <w:vAlign w:val="center"/>
          </w:tcPr>
          <w:p>
            <w:pPr>
              <w:pStyle w:val="TableContents"/>
              <w:bidi w:val="0"/>
              <w:spacing w:before="0" w:after="283"/>
              <w:jc w:val="left"/>
              <w:rPr>
                <w:sz w:val="20"/>
              </w:rPr>
            </w:pPr>
            <w:r>
              <w:rPr>
                <w:sz w:val="20"/>
              </w:rPr>
              <w:t>Successor Substituted.</w:t>
            </w:r>
          </w:p>
        </w:tc>
        <w:tc>
          <w:tcPr>
            <w:tcW w:w="275" w:type="dxa"/>
            <w:tcBorders/>
            <w:shd w:fill="CCEEFF" w:val="clear"/>
            <w:vAlign w:val="center"/>
          </w:tcPr>
          <w:p>
            <w:pPr>
              <w:pStyle w:val="TableContents"/>
              <w:bidi w:val="0"/>
              <w:spacing w:before="0" w:after="283"/>
              <w:jc w:val="center"/>
              <w:rPr>
                <w:sz w:val="20"/>
              </w:rPr>
            </w:pPr>
            <w:r>
              <w:rPr>
                <w:sz w:val="20"/>
              </w:rPr>
              <w:t>46</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510" w:type="dxa"/>
        <w:jc w:val="left"/>
        <w:tblInd w:w="0" w:type="dxa"/>
        <w:tblLayout w:type="fixed"/>
        <w:tblCellMar>
          <w:top w:w="0" w:type="dxa"/>
          <w:left w:w="0" w:type="dxa"/>
          <w:bottom w:w="0" w:type="dxa"/>
          <w:right w:w="0" w:type="dxa"/>
        </w:tblCellMar>
      </w:tblPr>
      <w:tblGrid>
        <w:gridCol w:w="1160"/>
        <w:gridCol w:w="8075"/>
        <w:gridCol w:w="275"/>
      </w:tblGrid>
      <w:tr>
        <w:trPr/>
        <w:tc>
          <w:tcPr>
            <w:tcW w:w="9235" w:type="dxa"/>
            <w:gridSpan w:val="2"/>
            <w:tcBorders/>
            <w:shd w:fill="CCEEFF" w:val="clear"/>
            <w:vAlign w:val="center"/>
          </w:tcPr>
          <w:p>
            <w:pPr>
              <w:pStyle w:val="TableContents"/>
              <w:bidi w:val="0"/>
              <w:spacing w:before="0" w:after="283"/>
              <w:jc w:val="left"/>
              <w:rPr>
                <w:b/>
                <w:sz w:val="20"/>
              </w:rPr>
            </w:pPr>
            <w:r>
              <w:rPr>
                <w:b/>
                <w:sz w:val="20"/>
              </w:rPr>
              <w:t>ARTICLE IX SUPPLEMENTAL INDENTURES</w:t>
            </w:r>
          </w:p>
        </w:tc>
        <w:tc>
          <w:tcPr>
            <w:tcW w:w="275" w:type="dxa"/>
            <w:tcBorders/>
            <w:shd w:fill="CCEEFF" w:val="clear"/>
            <w:vAlign w:val="center"/>
          </w:tcPr>
          <w:p>
            <w:pPr>
              <w:pStyle w:val="TableContents"/>
              <w:bidi w:val="0"/>
              <w:spacing w:before="0" w:after="283"/>
              <w:ind w:left="0" w:right="0" w:hanging="0"/>
              <w:jc w:val="center"/>
              <w:rPr>
                <w:b/>
                <w:sz w:val="20"/>
              </w:rPr>
            </w:pPr>
            <w:r>
              <w:rPr>
                <w:b/>
                <w:sz w:val="20"/>
              </w:rPr>
              <w:t>47</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9.01</w:t>
            </w:r>
          </w:p>
        </w:tc>
        <w:tc>
          <w:tcPr>
            <w:tcW w:w="8075" w:type="dxa"/>
            <w:tcBorders/>
            <w:shd w:fill="FFFFFF" w:val="clear"/>
            <w:vAlign w:val="center"/>
          </w:tcPr>
          <w:p>
            <w:pPr>
              <w:pStyle w:val="TableContents"/>
              <w:bidi w:val="0"/>
              <w:spacing w:before="0" w:after="283"/>
              <w:jc w:val="left"/>
              <w:rPr>
                <w:sz w:val="20"/>
              </w:rPr>
            </w:pPr>
            <w:r>
              <w:rPr>
                <w:sz w:val="20"/>
              </w:rPr>
              <w:t>Supplemental Indentures Without Consent of Holders.</w:t>
            </w:r>
          </w:p>
        </w:tc>
        <w:tc>
          <w:tcPr>
            <w:tcW w:w="275" w:type="dxa"/>
            <w:tcBorders/>
            <w:shd w:fill="FFFFFF" w:val="clear"/>
            <w:vAlign w:val="center"/>
          </w:tcPr>
          <w:p>
            <w:pPr>
              <w:pStyle w:val="TableContents"/>
              <w:bidi w:val="0"/>
              <w:spacing w:before="0" w:after="283"/>
              <w:ind w:left="0" w:right="0" w:hanging="0"/>
              <w:jc w:val="center"/>
              <w:rPr>
                <w:sz w:val="20"/>
              </w:rPr>
            </w:pPr>
            <w:r>
              <w:rPr>
                <w:sz w:val="20"/>
              </w:rPr>
              <w:t>47</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9.02</w:t>
            </w:r>
          </w:p>
        </w:tc>
        <w:tc>
          <w:tcPr>
            <w:tcW w:w="8075" w:type="dxa"/>
            <w:tcBorders/>
            <w:shd w:fill="CCEEFF" w:val="clear"/>
            <w:vAlign w:val="center"/>
          </w:tcPr>
          <w:p>
            <w:pPr>
              <w:pStyle w:val="TableContents"/>
              <w:bidi w:val="0"/>
              <w:spacing w:before="0" w:after="283"/>
              <w:jc w:val="left"/>
              <w:rPr>
                <w:sz w:val="20"/>
              </w:rPr>
            </w:pPr>
            <w:r>
              <w:rPr>
                <w:sz w:val="20"/>
              </w:rPr>
              <w:t>Supplemental Indentures With Consent of Holders.</w:t>
            </w:r>
          </w:p>
        </w:tc>
        <w:tc>
          <w:tcPr>
            <w:tcW w:w="275" w:type="dxa"/>
            <w:tcBorders/>
            <w:shd w:fill="CCEEFF" w:val="clear"/>
            <w:vAlign w:val="center"/>
          </w:tcPr>
          <w:p>
            <w:pPr>
              <w:pStyle w:val="TableContents"/>
              <w:bidi w:val="0"/>
              <w:spacing w:before="0" w:after="283"/>
              <w:ind w:left="0" w:right="0" w:hanging="0"/>
              <w:jc w:val="center"/>
              <w:rPr>
                <w:sz w:val="20"/>
              </w:rPr>
            </w:pPr>
            <w:r>
              <w:rPr>
                <w:sz w:val="20"/>
              </w:rPr>
              <w:t>48</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9.03</w:t>
            </w:r>
          </w:p>
        </w:tc>
        <w:tc>
          <w:tcPr>
            <w:tcW w:w="8075" w:type="dxa"/>
            <w:tcBorders/>
            <w:shd w:fill="FFFFFF" w:val="clear"/>
            <w:vAlign w:val="center"/>
          </w:tcPr>
          <w:p>
            <w:pPr>
              <w:pStyle w:val="TableContents"/>
              <w:bidi w:val="0"/>
              <w:spacing w:before="0" w:after="283"/>
              <w:jc w:val="left"/>
              <w:rPr>
                <w:sz w:val="20"/>
              </w:rPr>
            </w:pPr>
            <w:r>
              <w:rPr>
                <w:sz w:val="20"/>
              </w:rPr>
              <w:t>Execution of Supplemental Indentures.</w:t>
            </w:r>
          </w:p>
        </w:tc>
        <w:tc>
          <w:tcPr>
            <w:tcW w:w="275" w:type="dxa"/>
            <w:tcBorders/>
            <w:shd w:fill="FFFFFF" w:val="clear"/>
            <w:vAlign w:val="center"/>
          </w:tcPr>
          <w:p>
            <w:pPr>
              <w:pStyle w:val="TableContents"/>
              <w:bidi w:val="0"/>
              <w:spacing w:before="0" w:after="283"/>
              <w:ind w:left="0" w:right="0" w:hanging="0"/>
              <w:jc w:val="center"/>
              <w:rPr>
                <w:sz w:val="20"/>
              </w:rPr>
            </w:pPr>
            <w:r>
              <w:rPr>
                <w:sz w:val="20"/>
              </w:rPr>
              <w:t>48</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9.04</w:t>
            </w:r>
          </w:p>
        </w:tc>
        <w:tc>
          <w:tcPr>
            <w:tcW w:w="8075" w:type="dxa"/>
            <w:tcBorders/>
            <w:shd w:fill="CCEEFF" w:val="clear"/>
            <w:vAlign w:val="center"/>
          </w:tcPr>
          <w:p>
            <w:pPr>
              <w:pStyle w:val="TableContents"/>
              <w:bidi w:val="0"/>
              <w:spacing w:before="0" w:after="283"/>
              <w:jc w:val="left"/>
              <w:rPr>
                <w:sz w:val="20"/>
              </w:rPr>
            </w:pPr>
            <w:r>
              <w:rPr>
                <w:sz w:val="20"/>
              </w:rPr>
              <w:t>Effect of Supplemental Indentures.</w:t>
            </w:r>
          </w:p>
        </w:tc>
        <w:tc>
          <w:tcPr>
            <w:tcW w:w="275" w:type="dxa"/>
            <w:tcBorders/>
            <w:shd w:fill="CCEEFF" w:val="clear"/>
            <w:vAlign w:val="center"/>
          </w:tcPr>
          <w:p>
            <w:pPr>
              <w:pStyle w:val="TableContents"/>
              <w:bidi w:val="0"/>
              <w:spacing w:before="0" w:after="283"/>
              <w:ind w:left="0" w:right="0" w:hanging="0"/>
              <w:jc w:val="center"/>
              <w:rPr>
                <w:sz w:val="20"/>
              </w:rPr>
            </w:pPr>
            <w:r>
              <w:rPr>
                <w:sz w:val="20"/>
              </w:rPr>
              <w:t>50</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9.05</w:t>
            </w:r>
          </w:p>
        </w:tc>
        <w:tc>
          <w:tcPr>
            <w:tcW w:w="8075" w:type="dxa"/>
            <w:tcBorders/>
            <w:shd w:fill="FFFFFF" w:val="clear"/>
            <w:vAlign w:val="center"/>
          </w:tcPr>
          <w:p>
            <w:pPr>
              <w:pStyle w:val="TableContents"/>
              <w:bidi w:val="0"/>
              <w:spacing w:before="0" w:after="283"/>
              <w:jc w:val="left"/>
              <w:rPr>
                <w:sz w:val="20"/>
              </w:rPr>
            </w:pPr>
            <w:r>
              <w:rPr>
                <w:sz w:val="20"/>
              </w:rPr>
              <w:t>Conformity with Trust Indenture Act.</w:t>
            </w:r>
          </w:p>
        </w:tc>
        <w:tc>
          <w:tcPr>
            <w:tcW w:w="275" w:type="dxa"/>
            <w:tcBorders/>
            <w:shd w:fill="FFFFFF" w:val="clear"/>
            <w:vAlign w:val="center"/>
          </w:tcPr>
          <w:p>
            <w:pPr>
              <w:pStyle w:val="TableContents"/>
              <w:bidi w:val="0"/>
              <w:spacing w:before="0" w:after="283"/>
              <w:ind w:left="0" w:right="0" w:hanging="0"/>
              <w:jc w:val="center"/>
              <w:rPr>
                <w:sz w:val="20"/>
              </w:rPr>
            </w:pPr>
            <w:r>
              <w:rPr>
                <w:sz w:val="20"/>
              </w:rPr>
              <w:t>50</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9.06</w:t>
            </w:r>
          </w:p>
        </w:tc>
        <w:tc>
          <w:tcPr>
            <w:tcW w:w="8075" w:type="dxa"/>
            <w:tcBorders/>
            <w:shd w:fill="CCEEFF" w:val="clear"/>
            <w:vAlign w:val="center"/>
          </w:tcPr>
          <w:p>
            <w:pPr>
              <w:pStyle w:val="TableContents"/>
              <w:bidi w:val="0"/>
              <w:spacing w:before="0" w:after="283"/>
              <w:jc w:val="left"/>
              <w:rPr>
                <w:sz w:val="20"/>
              </w:rPr>
            </w:pPr>
            <w:r>
              <w:rPr>
                <w:sz w:val="20"/>
              </w:rPr>
              <w:t>Reference in Securities to Supplemental Indentures.</w:t>
            </w:r>
          </w:p>
        </w:tc>
        <w:tc>
          <w:tcPr>
            <w:tcW w:w="275" w:type="dxa"/>
            <w:tcBorders/>
            <w:shd w:fill="CCEEFF" w:val="clear"/>
            <w:vAlign w:val="center"/>
          </w:tcPr>
          <w:p>
            <w:pPr>
              <w:pStyle w:val="TableContents"/>
              <w:bidi w:val="0"/>
              <w:spacing w:before="0" w:after="283"/>
              <w:jc w:val="center"/>
              <w:rPr>
                <w:sz w:val="20"/>
              </w:rPr>
            </w:pPr>
            <w:r>
              <w:rPr>
                <w:sz w:val="20"/>
              </w:rPr>
              <w:t>50</w:t>
            </w:r>
          </w:p>
        </w:tc>
      </w:tr>
      <w:tr>
        <w:trPr/>
        <w:tc>
          <w:tcPr>
            <w:tcW w:w="1160" w:type="dxa"/>
            <w:tcBorders/>
            <w:shd w:fill="FFFFFF" w:val="clear"/>
            <w:vAlign w:val="center"/>
          </w:tcPr>
          <w:p>
            <w:pPr>
              <w:pStyle w:val="TableContents"/>
              <w:bidi w:val="0"/>
              <w:spacing w:before="0" w:after="283"/>
              <w:jc w:val="left"/>
              <w:rPr/>
            </w:pPr>
            <w:r>
              <w:rPr/>
              <w:t> </w:t>
            </w:r>
          </w:p>
        </w:tc>
        <w:tc>
          <w:tcPr>
            <w:tcW w:w="8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235" w:type="dxa"/>
            <w:gridSpan w:val="2"/>
            <w:tcBorders/>
            <w:shd w:fill="CCEEFF" w:val="clear"/>
            <w:vAlign w:val="center"/>
          </w:tcPr>
          <w:p>
            <w:pPr>
              <w:pStyle w:val="TableContents"/>
              <w:bidi w:val="0"/>
              <w:spacing w:before="0" w:after="283"/>
              <w:jc w:val="left"/>
              <w:rPr>
                <w:b/>
                <w:sz w:val="20"/>
              </w:rPr>
            </w:pPr>
            <w:r>
              <w:rPr>
                <w:b/>
                <w:sz w:val="20"/>
              </w:rPr>
              <w:t>ARTICLE X COVENANTS</w:t>
            </w:r>
          </w:p>
        </w:tc>
        <w:tc>
          <w:tcPr>
            <w:tcW w:w="275" w:type="dxa"/>
            <w:tcBorders/>
            <w:shd w:fill="CCEEFF" w:val="clear"/>
            <w:vAlign w:val="center"/>
          </w:tcPr>
          <w:p>
            <w:pPr>
              <w:pStyle w:val="TableContents"/>
              <w:bidi w:val="0"/>
              <w:spacing w:before="0" w:after="283"/>
              <w:ind w:left="0" w:right="0" w:hanging="0"/>
              <w:jc w:val="center"/>
              <w:rPr>
                <w:b/>
                <w:sz w:val="20"/>
              </w:rPr>
            </w:pPr>
            <w:r>
              <w:rPr>
                <w:b/>
                <w:sz w:val="20"/>
              </w:rPr>
              <w:t>50</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10.01</w:t>
            </w:r>
          </w:p>
        </w:tc>
        <w:tc>
          <w:tcPr>
            <w:tcW w:w="8075" w:type="dxa"/>
            <w:tcBorders/>
            <w:shd w:fill="FFFFFF" w:val="clear"/>
            <w:vAlign w:val="center"/>
          </w:tcPr>
          <w:p>
            <w:pPr>
              <w:pStyle w:val="TableContents"/>
              <w:bidi w:val="0"/>
              <w:spacing w:before="0" w:after="283"/>
              <w:jc w:val="left"/>
              <w:rPr>
                <w:sz w:val="20"/>
              </w:rPr>
            </w:pPr>
            <w:r>
              <w:rPr>
                <w:sz w:val="20"/>
              </w:rPr>
              <w:t>Payment of Principal, Premium and Interest.</w:t>
            </w:r>
          </w:p>
        </w:tc>
        <w:tc>
          <w:tcPr>
            <w:tcW w:w="275" w:type="dxa"/>
            <w:tcBorders/>
            <w:shd w:fill="FFFFFF" w:val="clear"/>
            <w:vAlign w:val="center"/>
          </w:tcPr>
          <w:p>
            <w:pPr>
              <w:pStyle w:val="TableContents"/>
              <w:bidi w:val="0"/>
              <w:spacing w:before="0" w:after="283"/>
              <w:ind w:left="0" w:right="0" w:hanging="0"/>
              <w:jc w:val="center"/>
              <w:rPr>
                <w:sz w:val="20"/>
              </w:rPr>
            </w:pPr>
            <w:r>
              <w:rPr>
                <w:sz w:val="20"/>
              </w:rPr>
              <w:t>50</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10.02</w:t>
            </w:r>
          </w:p>
        </w:tc>
        <w:tc>
          <w:tcPr>
            <w:tcW w:w="8075" w:type="dxa"/>
            <w:tcBorders/>
            <w:shd w:fill="CCEEFF" w:val="clear"/>
            <w:vAlign w:val="center"/>
          </w:tcPr>
          <w:p>
            <w:pPr>
              <w:pStyle w:val="TableContents"/>
              <w:bidi w:val="0"/>
              <w:spacing w:before="0" w:after="283"/>
              <w:jc w:val="left"/>
              <w:rPr>
                <w:sz w:val="20"/>
              </w:rPr>
            </w:pPr>
            <w:r>
              <w:rPr>
                <w:sz w:val="20"/>
              </w:rPr>
              <w:t>Maintenance of Office or Agency.</w:t>
            </w:r>
          </w:p>
        </w:tc>
        <w:tc>
          <w:tcPr>
            <w:tcW w:w="275" w:type="dxa"/>
            <w:tcBorders/>
            <w:shd w:fill="CCEEFF" w:val="clear"/>
            <w:vAlign w:val="center"/>
          </w:tcPr>
          <w:p>
            <w:pPr>
              <w:pStyle w:val="TableContents"/>
              <w:bidi w:val="0"/>
              <w:spacing w:before="0" w:after="283"/>
              <w:ind w:left="0" w:right="0" w:hanging="0"/>
              <w:jc w:val="center"/>
              <w:rPr>
                <w:sz w:val="20"/>
              </w:rPr>
            </w:pPr>
            <w:r>
              <w:rPr>
                <w:sz w:val="20"/>
              </w:rPr>
              <w:t>50</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10.03</w:t>
            </w:r>
          </w:p>
        </w:tc>
        <w:tc>
          <w:tcPr>
            <w:tcW w:w="8075" w:type="dxa"/>
            <w:tcBorders/>
            <w:shd w:fill="FFFFFF" w:val="clear"/>
            <w:vAlign w:val="center"/>
          </w:tcPr>
          <w:p>
            <w:pPr>
              <w:pStyle w:val="TableContents"/>
              <w:bidi w:val="0"/>
              <w:spacing w:before="0" w:after="283"/>
              <w:jc w:val="left"/>
              <w:rPr>
                <w:sz w:val="20"/>
              </w:rPr>
            </w:pPr>
            <w:r>
              <w:rPr>
                <w:sz w:val="20"/>
              </w:rPr>
              <w:t>Money for Securities Payments to Be Held in Trust.</w:t>
            </w:r>
          </w:p>
        </w:tc>
        <w:tc>
          <w:tcPr>
            <w:tcW w:w="275" w:type="dxa"/>
            <w:tcBorders/>
            <w:shd w:fill="FFFFFF" w:val="clear"/>
            <w:vAlign w:val="center"/>
          </w:tcPr>
          <w:p>
            <w:pPr>
              <w:pStyle w:val="TableContents"/>
              <w:bidi w:val="0"/>
              <w:spacing w:before="0" w:after="283"/>
              <w:ind w:left="0" w:right="0" w:hanging="0"/>
              <w:jc w:val="center"/>
              <w:rPr>
                <w:sz w:val="20"/>
              </w:rPr>
            </w:pPr>
            <w:r>
              <w:rPr>
                <w:sz w:val="20"/>
              </w:rPr>
              <w:t>51</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10.04</w:t>
            </w:r>
          </w:p>
        </w:tc>
        <w:tc>
          <w:tcPr>
            <w:tcW w:w="8075" w:type="dxa"/>
            <w:tcBorders/>
            <w:shd w:fill="CCEEFF" w:val="clear"/>
            <w:vAlign w:val="center"/>
          </w:tcPr>
          <w:p>
            <w:pPr>
              <w:pStyle w:val="TableContents"/>
              <w:bidi w:val="0"/>
              <w:spacing w:before="0" w:after="283"/>
              <w:jc w:val="left"/>
              <w:rPr>
                <w:sz w:val="20"/>
              </w:rPr>
            </w:pPr>
            <w:r>
              <w:rPr>
                <w:sz w:val="20"/>
              </w:rPr>
              <w:t>Statement by Officers as to Default.</w:t>
            </w:r>
          </w:p>
        </w:tc>
        <w:tc>
          <w:tcPr>
            <w:tcW w:w="275" w:type="dxa"/>
            <w:tcBorders/>
            <w:shd w:fill="CCEEFF" w:val="clear"/>
            <w:vAlign w:val="center"/>
          </w:tcPr>
          <w:p>
            <w:pPr>
              <w:pStyle w:val="TableContents"/>
              <w:bidi w:val="0"/>
              <w:spacing w:before="0" w:after="283"/>
              <w:ind w:left="0" w:right="0" w:hanging="0"/>
              <w:jc w:val="center"/>
              <w:rPr>
                <w:sz w:val="20"/>
              </w:rPr>
            </w:pPr>
            <w:r>
              <w:rPr>
                <w:sz w:val="20"/>
              </w:rPr>
              <w:t>52</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10.05</w:t>
            </w:r>
          </w:p>
        </w:tc>
        <w:tc>
          <w:tcPr>
            <w:tcW w:w="8075" w:type="dxa"/>
            <w:tcBorders/>
            <w:shd w:fill="FFFFFF" w:val="clear"/>
            <w:vAlign w:val="center"/>
          </w:tcPr>
          <w:p>
            <w:pPr>
              <w:pStyle w:val="TableContents"/>
              <w:bidi w:val="0"/>
              <w:spacing w:before="0" w:after="283"/>
              <w:jc w:val="left"/>
              <w:rPr>
                <w:sz w:val="20"/>
              </w:rPr>
            </w:pPr>
            <w:r>
              <w:rPr>
                <w:sz w:val="20"/>
              </w:rPr>
              <w:t>Existence.</w:t>
            </w:r>
          </w:p>
        </w:tc>
        <w:tc>
          <w:tcPr>
            <w:tcW w:w="275" w:type="dxa"/>
            <w:tcBorders/>
            <w:shd w:fill="FFFFFF" w:val="clear"/>
            <w:vAlign w:val="center"/>
          </w:tcPr>
          <w:p>
            <w:pPr>
              <w:pStyle w:val="TableContents"/>
              <w:bidi w:val="0"/>
              <w:spacing w:before="0" w:after="283"/>
              <w:ind w:left="0" w:right="0" w:hanging="0"/>
              <w:jc w:val="center"/>
              <w:rPr>
                <w:sz w:val="20"/>
              </w:rPr>
            </w:pPr>
            <w:r>
              <w:rPr>
                <w:sz w:val="20"/>
              </w:rPr>
              <w:t>52</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10.06</w:t>
            </w:r>
          </w:p>
        </w:tc>
        <w:tc>
          <w:tcPr>
            <w:tcW w:w="8075" w:type="dxa"/>
            <w:tcBorders/>
            <w:shd w:fill="CCEEFF" w:val="clear"/>
            <w:vAlign w:val="center"/>
          </w:tcPr>
          <w:p>
            <w:pPr>
              <w:pStyle w:val="TableContents"/>
              <w:bidi w:val="0"/>
              <w:spacing w:before="0" w:after="283"/>
              <w:jc w:val="left"/>
              <w:rPr>
                <w:sz w:val="20"/>
              </w:rPr>
            </w:pPr>
            <w:r>
              <w:rPr>
                <w:sz w:val="20"/>
              </w:rPr>
              <w:t>Waiver of Certain Covenants.</w:t>
            </w:r>
          </w:p>
        </w:tc>
        <w:tc>
          <w:tcPr>
            <w:tcW w:w="275" w:type="dxa"/>
            <w:tcBorders/>
            <w:shd w:fill="CCEEFF" w:val="clear"/>
            <w:vAlign w:val="center"/>
          </w:tcPr>
          <w:p>
            <w:pPr>
              <w:pStyle w:val="TableContents"/>
              <w:bidi w:val="0"/>
              <w:spacing w:before="0" w:after="283"/>
              <w:jc w:val="center"/>
              <w:rPr>
                <w:sz w:val="20"/>
              </w:rPr>
            </w:pPr>
            <w:r>
              <w:rPr>
                <w:sz w:val="20"/>
              </w:rPr>
              <w:t>52</w:t>
            </w:r>
          </w:p>
        </w:tc>
      </w:tr>
      <w:tr>
        <w:trPr/>
        <w:tc>
          <w:tcPr>
            <w:tcW w:w="1160" w:type="dxa"/>
            <w:tcBorders/>
            <w:shd w:fill="FFFFFF" w:val="clear"/>
            <w:vAlign w:val="center"/>
          </w:tcPr>
          <w:p>
            <w:pPr>
              <w:pStyle w:val="TableContents"/>
              <w:bidi w:val="0"/>
              <w:spacing w:before="0" w:after="283"/>
              <w:jc w:val="left"/>
              <w:rPr/>
            </w:pPr>
            <w:r>
              <w:rPr/>
              <w:t> </w:t>
            </w:r>
          </w:p>
        </w:tc>
        <w:tc>
          <w:tcPr>
            <w:tcW w:w="8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235" w:type="dxa"/>
            <w:gridSpan w:val="2"/>
            <w:tcBorders/>
            <w:shd w:fill="CCEEFF" w:val="clear"/>
            <w:vAlign w:val="center"/>
          </w:tcPr>
          <w:p>
            <w:pPr>
              <w:pStyle w:val="TableContents"/>
              <w:bidi w:val="0"/>
              <w:spacing w:before="0" w:after="283"/>
              <w:jc w:val="left"/>
              <w:rPr>
                <w:b/>
                <w:sz w:val="20"/>
              </w:rPr>
            </w:pPr>
            <w:r>
              <w:rPr>
                <w:b/>
                <w:sz w:val="20"/>
              </w:rPr>
              <w:t>ARTICLE XI REDEMPTION OF SECURITIES</w:t>
            </w:r>
          </w:p>
        </w:tc>
        <w:tc>
          <w:tcPr>
            <w:tcW w:w="275" w:type="dxa"/>
            <w:tcBorders/>
            <w:shd w:fill="CCEEFF" w:val="clear"/>
            <w:vAlign w:val="center"/>
          </w:tcPr>
          <w:p>
            <w:pPr>
              <w:pStyle w:val="TableContents"/>
              <w:bidi w:val="0"/>
              <w:spacing w:before="0" w:after="283"/>
              <w:ind w:left="0" w:right="0" w:hanging="0"/>
              <w:jc w:val="center"/>
              <w:rPr>
                <w:b/>
                <w:sz w:val="20"/>
              </w:rPr>
            </w:pPr>
            <w:r>
              <w:rPr>
                <w:b/>
                <w:sz w:val="20"/>
              </w:rPr>
              <w:t>52</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11.01</w:t>
            </w:r>
          </w:p>
        </w:tc>
        <w:tc>
          <w:tcPr>
            <w:tcW w:w="8075" w:type="dxa"/>
            <w:tcBorders/>
            <w:shd w:fill="FFFFFF" w:val="clear"/>
            <w:vAlign w:val="center"/>
          </w:tcPr>
          <w:p>
            <w:pPr>
              <w:pStyle w:val="TableContents"/>
              <w:bidi w:val="0"/>
              <w:spacing w:before="0" w:after="283"/>
              <w:jc w:val="left"/>
              <w:rPr>
                <w:sz w:val="20"/>
              </w:rPr>
            </w:pPr>
            <w:r>
              <w:rPr>
                <w:sz w:val="20"/>
              </w:rPr>
              <w:t>Applicability of Article.</w:t>
            </w:r>
          </w:p>
        </w:tc>
        <w:tc>
          <w:tcPr>
            <w:tcW w:w="275" w:type="dxa"/>
            <w:tcBorders/>
            <w:shd w:fill="FFFFFF" w:val="clear"/>
            <w:vAlign w:val="center"/>
          </w:tcPr>
          <w:p>
            <w:pPr>
              <w:pStyle w:val="TableContents"/>
              <w:bidi w:val="0"/>
              <w:spacing w:before="0" w:after="283"/>
              <w:ind w:left="0" w:right="0" w:hanging="0"/>
              <w:jc w:val="center"/>
              <w:rPr>
                <w:sz w:val="20"/>
              </w:rPr>
            </w:pPr>
            <w:r>
              <w:rPr>
                <w:sz w:val="20"/>
              </w:rPr>
              <w:t>52</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11.02</w:t>
            </w:r>
          </w:p>
        </w:tc>
        <w:tc>
          <w:tcPr>
            <w:tcW w:w="8075" w:type="dxa"/>
            <w:tcBorders/>
            <w:shd w:fill="CCEEFF" w:val="clear"/>
            <w:vAlign w:val="center"/>
          </w:tcPr>
          <w:p>
            <w:pPr>
              <w:pStyle w:val="TableContents"/>
              <w:bidi w:val="0"/>
              <w:spacing w:before="0" w:after="283"/>
              <w:jc w:val="left"/>
              <w:rPr>
                <w:sz w:val="20"/>
              </w:rPr>
            </w:pPr>
            <w:r>
              <w:rPr>
                <w:sz w:val="20"/>
              </w:rPr>
              <w:t>Election to Redeem; Notice to Trustee.</w:t>
            </w:r>
          </w:p>
        </w:tc>
        <w:tc>
          <w:tcPr>
            <w:tcW w:w="275" w:type="dxa"/>
            <w:tcBorders/>
            <w:shd w:fill="CCEEFF" w:val="clear"/>
            <w:vAlign w:val="center"/>
          </w:tcPr>
          <w:p>
            <w:pPr>
              <w:pStyle w:val="TableContents"/>
              <w:bidi w:val="0"/>
              <w:spacing w:before="0" w:after="283"/>
              <w:ind w:left="0" w:right="0" w:hanging="0"/>
              <w:jc w:val="center"/>
              <w:rPr>
                <w:sz w:val="20"/>
              </w:rPr>
            </w:pPr>
            <w:r>
              <w:rPr>
                <w:sz w:val="20"/>
              </w:rPr>
              <w:t>52</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11.03</w:t>
            </w:r>
          </w:p>
        </w:tc>
        <w:tc>
          <w:tcPr>
            <w:tcW w:w="8075" w:type="dxa"/>
            <w:tcBorders/>
            <w:shd w:fill="FFFFFF" w:val="clear"/>
            <w:vAlign w:val="center"/>
          </w:tcPr>
          <w:p>
            <w:pPr>
              <w:pStyle w:val="TableContents"/>
              <w:bidi w:val="0"/>
              <w:spacing w:before="0" w:after="283"/>
              <w:jc w:val="left"/>
              <w:rPr>
                <w:sz w:val="20"/>
              </w:rPr>
            </w:pPr>
            <w:r>
              <w:rPr>
                <w:sz w:val="20"/>
              </w:rPr>
              <w:t>Selection by Trustee of Securities to Be Redeemed.</w:t>
            </w:r>
          </w:p>
        </w:tc>
        <w:tc>
          <w:tcPr>
            <w:tcW w:w="275" w:type="dxa"/>
            <w:tcBorders/>
            <w:shd w:fill="FFFFFF" w:val="clear"/>
            <w:vAlign w:val="center"/>
          </w:tcPr>
          <w:p>
            <w:pPr>
              <w:pStyle w:val="TableContents"/>
              <w:bidi w:val="0"/>
              <w:spacing w:before="0" w:after="283"/>
              <w:ind w:left="0" w:right="0" w:hanging="0"/>
              <w:jc w:val="center"/>
              <w:rPr>
                <w:sz w:val="20"/>
              </w:rPr>
            </w:pPr>
            <w:r>
              <w:rPr>
                <w:sz w:val="20"/>
              </w:rPr>
              <w:t>53</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11.04</w:t>
            </w:r>
          </w:p>
        </w:tc>
        <w:tc>
          <w:tcPr>
            <w:tcW w:w="8075" w:type="dxa"/>
            <w:tcBorders/>
            <w:shd w:fill="CCEEFF" w:val="clear"/>
            <w:vAlign w:val="center"/>
          </w:tcPr>
          <w:p>
            <w:pPr>
              <w:pStyle w:val="TableContents"/>
              <w:bidi w:val="0"/>
              <w:spacing w:before="0" w:after="283"/>
              <w:jc w:val="left"/>
              <w:rPr>
                <w:sz w:val="20"/>
              </w:rPr>
            </w:pPr>
            <w:r>
              <w:rPr>
                <w:sz w:val="20"/>
              </w:rPr>
              <w:t>Notice of Redemption.</w:t>
            </w:r>
          </w:p>
        </w:tc>
        <w:tc>
          <w:tcPr>
            <w:tcW w:w="275" w:type="dxa"/>
            <w:tcBorders/>
            <w:shd w:fill="CCEEFF" w:val="clear"/>
            <w:vAlign w:val="center"/>
          </w:tcPr>
          <w:p>
            <w:pPr>
              <w:pStyle w:val="TableContents"/>
              <w:bidi w:val="0"/>
              <w:spacing w:before="0" w:after="283"/>
              <w:ind w:left="0" w:right="0" w:hanging="0"/>
              <w:jc w:val="center"/>
              <w:rPr>
                <w:sz w:val="20"/>
              </w:rPr>
            </w:pPr>
            <w:r>
              <w:rPr>
                <w:sz w:val="20"/>
              </w:rPr>
              <w:t>53</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11.05</w:t>
            </w:r>
          </w:p>
        </w:tc>
        <w:tc>
          <w:tcPr>
            <w:tcW w:w="8075" w:type="dxa"/>
            <w:tcBorders/>
            <w:shd w:fill="FFFFFF" w:val="clear"/>
            <w:vAlign w:val="center"/>
          </w:tcPr>
          <w:p>
            <w:pPr>
              <w:pStyle w:val="TableContents"/>
              <w:bidi w:val="0"/>
              <w:spacing w:before="0" w:after="283"/>
              <w:jc w:val="left"/>
              <w:rPr>
                <w:sz w:val="20"/>
              </w:rPr>
            </w:pPr>
            <w:r>
              <w:rPr>
                <w:sz w:val="20"/>
              </w:rPr>
              <w:t>Deposit of Redemption Price.</w:t>
            </w:r>
          </w:p>
        </w:tc>
        <w:tc>
          <w:tcPr>
            <w:tcW w:w="275" w:type="dxa"/>
            <w:tcBorders/>
            <w:shd w:fill="FFFFFF" w:val="clear"/>
            <w:vAlign w:val="center"/>
          </w:tcPr>
          <w:p>
            <w:pPr>
              <w:pStyle w:val="TableContents"/>
              <w:bidi w:val="0"/>
              <w:spacing w:before="0" w:after="283"/>
              <w:ind w:left="0" w:right="0" w:hanging="0"/>
              <w:jc w:val="center"/>
              <w:rPr>
                <w:sz w:val="20"/>
              </w:rPr>
            </w:pPr>
            <w:r>
              <w:rPr>
                <w:sz w:val="20"/>
              </w:rPr>
              <w:t>54</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11.06</w:t>
            </w:r>
          </w:p>
        </w:tc>
        <w:tc>
          <w:tcPr>
            <w:tcW w:w="8075" w:type="dxa"/>
            <w:tcBorders/>
            <w:shd w:fill="CCEEFF" w:val="clear"/>
            <w:vAlign w:val="center"/>
          </w:tcPr>
          <w:p>
            <w:pPr>
              <w:pStyle w:val="TableContents"/>
              <w:bidi w:val="0"/>
              <w:spacing w:before="0" w:after="283"/>
              <w:jc w:val="left"/>
              <w:rPr>
                <w:sz w:val="20"/>
              </w:rPr>
            </w:pPr>
            <w:r>
              <w:rPr>
                <w:sz w:val="20"/>
              </w:rPr>
              <w:t>Securities Payable on Redemption Date.</w:t>
            </w:r>
          </w:p>
        </w:tc>
        <w:tc>
          <w:tcPr>
            <w:tcW w:w="275" w:type="dxa"/>
            <w:tcBorders/>
            <w:shd w:fill="CCEEFF" w:val="clear"/>
            <w:vAlign w:val="center"/>
          </w:tcPr>
          <w:p>
            <w:pPr>
              <w:pStyle w:val="TableContents"/>
              <w:bidi w:val="0"/>
              <w:spacing w:before="0" w:after="283"/>
              <w:ind w:left="0" w:right="0" w:hanging="0"/>
              <w:jc w:val="center"/>
              <w:rPr>
                <w:sz w:val="20"/>
              </w:rPr>
            </w:pPr>
            <w:r>
              <w:rPr>
                <w:sz w:val="20"/>
              </w:rPr>
              <w:t>54</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11.07</w:t>
            </w:r>
          </w:p>
        </w:tc>
        <w:tc>
          <w:tcPr>
            <w:tcW w:w="8075" w:type="dxa"/>
            <w:tcBorders/>
            <w:shd w:fill="FFFFFF" w:val="clear"/>
            <w:vAlign w:val="center"/>
          </w:tcPr>
          <w:p>
            <w:pPr>
              <w:pStyle w:val="TableContents"/>
              <w:bidi w:val="0"/>
              <w:spacing w:before="0" w:after="283"/>
              <w:jc w:val="left"/>
              <w:rPr>
                <w:sz w:val="20"/>
              </w:rPr>
            </w:pPr>
            <w:r>
              <w:rPr>
                <w:sz w:val="20"/>
              </w:rPr>
              <w:t>Securities Redeemed in Part.</w:t>
            </w:r>
          </w:p>
        </w:tc>
        <w:tc>
          <w:tcPr>
            <w:tcW w:w="275" w:type="dxa"/>
            <w:tcBorders/>
            <w:shd w:fill="FFFFFF" w:val="clear"/>
            <w:vAlign w:val="center"/>
          </w:tcPr>
          <w:p>
            <w:pPr>
              <w:pStyle w:val="TableContents"/>
              <w:bidi w:val="0"/>
              <w:spacing w:before="0" w:after="283"/>
              <w:jc w:val="center"/>
              <w:rPr>
                <w:sz w:val="20"/>
              </w:rPr>
            </w:pPr>
            <w:r>
              <w:rPr>
                <w:sz w:val="20"/>
              </w:rPr>
              <w:t>55</w:t>
            </w:r>
          </w:p>
        </w:tc>
      </w:tr>
      <w:tr>
        <w:trPr/>
        <w:tc>
          <w:tcPr>
            <w:tcW w:w="1160" w:type="dxa"/>
            <w:tcBorders/>
            <w:shd w:fill="CCEEFF" w:val="clear"/>
            <w:vAlign w:val="center"/>
          </w:tcPr>
          <w:p>
            <w:pPr>
              <w:pStyle w:val="TableContents"/>
              <w:bidi w:val="0"/>
              <w:spacing w:before="0" w:after="283"/>
              <w:jc w:val="left"/>
              <w:rPr/>
            </w:pPr>
            <w:r>
              <w:rPr/>
              <w:t> </w:t>
            </w:r>
          </w:p>
        </w:tc>
        <w:tc>
          <w:tcPr>
            <w:tcW w:w="80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235" w:type="dxa"/>
            <w:gridSpan w:val="2"/>
            <w:tcBorders/>
            <w:shd w:fill="FFFFFF" w:val="clear"/>
            <w:vAlign w:val="center"/>
          </w:tcPr>
          <w:p>
            <w:pPr>
              <w:pStyle w:val="TableContents"/>
              <w:bidi w:val="0"/>
              <w:spacing w:before="0" w:after="283"/>
              <w:jc w:val="left"/>
              <w:rPr>
                <w:b/>
                <w:sz w:val="20"/>
              </w:rPr>
            </w:pPr>
            <w:r>
              <w:rPr>
                <w:b/>
                <w:sz w:val="20"/>
              </w:rPr>
              <w:t>ARTICLE XII SINKING FUNDS</w:t>
            </w:r>
          </w:p>
        </w:tc>
        <w:tc>
          <w:tcPr>
            <w:tcW w:w="275" w:type="dxa"/>
            <w:tcBorders/>
            <w:shd w:fill="FFFFFF" w:val="clear"/>
            <w:vAlign w:val="center"/>
          </w:tcPr>
          <w:p>
            <w:pPr>
              <w:pStyle w:val="TableContents"/>
              <w:bidi w:val="0"/>
              <w:spacing w:before="0" w:after="283"/>
              <w:ind w:left="0" w:right="0" w:hanging="0"/>
              <w:jc w:val="center"/>
              <w:rPr>
                <w:b/>
                <w:sz w:val="20"/>
              </w:rPr>
            </w:pPr>
            <w:r>
              <w:rPr>
                <w:b/>
                <w:sz w:val="20"/>
              </w:rPr>
              <w:t>55</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12.01</w:t>
            </w:r>
          </w:p>
        </w:tc>
        <w:tc>
          <w:tcPr>
            <w:tcW w:w="8075" w:type="dxa"/>
            <w:tcBorders/>
            <w:shd w:fill="CCEEFF" w:val="clear"/>
            <w:vAlign w:val="center"/>
          </w:tcPr>
          <w:p>
            <w:pPr>
              <w:pStyle w:val="TableContents"/>
              <w:bidi w:val="0"/>
              <w:spacing w:before="0" w:after="283"/>
              <w:jc w:val="left"/>
              <w:rPr>
                <w:sz w:val="20"/>
              </w:rPr>
            </w:pPr>
            <w:r>
              <w:rPr>
                <w:sz w:val="20"/>
              </w:rPr>
              <w:t>Applicability of Article.</w:t>
            </w:r>
          </w:p>
        </w:tc>
        <w:tc>
          <w:tcPr>
            <w:tcW w:w="275" w:type="dxa"/>
            <w:tcBorders/>
            <w:shd w:fill="CCEEFF" w:val="clear"/>
            <w:vAlign w:val="center"/>
          </w:tcPr>
          <w:p>
            <w:pPr>
              <w:pStyle w:val="TableContents"/>
              <w:bidi w:val="0"/>
              <w:spacing w:before="0" w:after="283"/>
              <w:ind w:left="0" w:right="0" w:hanging="0"/>
              <w:jc w:val="center"/>
              <w:rPr>
                <w:sz w:val="20"/>
              </w:rPr>
            </w:pPr>
            <w:r>
              <w:rPr>
                <w:sz w:val="20"/>
              </w:rPr>
              <w:t>55</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12.02</w:t>
            </w:r>
          </w:p>
        </w:tc>
        <w:tc>
          <w:tcPr>
            <w:tcW w:w="8075" w:type="dxa"/>
            <w:tcBorders/>
            <w:shd w:fill="FFFFFF" w:val="clear"/>
            <w:vAlign w:val="center"/>
          </w:tcPr>
          <w:p>
            <w:pPr>
              <w:pStyle w:val="TableContents"/>
              <w:bidi w:val="0"/>
              <w:spacing w:before="0" w:after="283"/>
              <w:jc w:val="left"/>
              <w:rPr>
                <w:sz w:val="20"/>
              </w:rPr>
            </w:pPr>
            <w:r>
              <w:rPr>
                <w:sz w:val="20"/>
              </w:rPr>
              <w:t>Satisfaction of Sinking Fund Payments with Securities.</w:t>
            </w:r>
          </w:p>
        </w:tc>
        <w:tc>
          <w:tcPr>
            <w:tcW w:w="275" w:type="dxa"/>
            <w:tcBorders/>
            <w:shd w:fill="FFFFFF" w:val="clear"/>
            <w:vAlign w:val="center"/>
          </w:tcPr>
          <w:p>
            <w:pPr>
              <w:pStyle w:val="TableContents"/>
              <w:bidi w:val="0"/>
              <w:spacing w:before="0" w:after="283"/>
              <w:ind w:left="0" w:right="0" w:hanging="0"/>
              <w:jc w:val="center"/>
              <w:rPr>
                <w:sz w:val="20"/>
              </w:rPr>
            </w:pPr>
            <w:r>
              <w:rPr>
                <w:sz w:val="20"/>
              </w:rPr>
              <w:t>55</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12.03</w:t>
            </w:r>
          </w:p>
        </w:tc>
        <w:tc>
          <w:tcPr>
            <w:tcW w:w="8075" w:type="dxa"/>
            <w:tcBorders/>
            <w:shd w:fill="CCEEFF" w:val="clear"/>
            <w:vAlign w:val="center"/>
          </w:tcPr>
          <w:p>
            <w:pPr>
              <w:pStyle w:val="TableContents"/>
              <w:bidi w:val="0"/>
              <w:spacing w:before="0" w:after="283"/>
              <w:jc w:val="left"/>
              <w:rPr>
                <w:sz w:val="20"/>
              </w:rPr>
            </w:pPr>
            <w:r>
              <w:rPr>
                <w:sz w:val="20"/>
              </w:rPr>
              <w:t>Redemption of Securities for Sinking Fund.</w:t>
            </w:r>
          </w:p>
        </w:tc>
        <w:tc>
          <w:tcPr>
            <w:tcW w:w="275" w:type="dxa"/>
            <w:tcBorders/>
            <w:shd w:fill="CCEEFF" w:val="clear"/>
            <w:vAlign w:val="center"/>
          </w:tcPr>
          <w:p>
            <w:pPr>
              <w:pStyle w:val="TableContents"/>
              <w:bidi w:val="0"/>
              <w:spacing w:before="0" w:after="283"/>
              <w:jc w:val="center"/>
              <w:rPr>
                <w:sz w:val="20"/>
              </w:rPr>
            </w:pPr>
            <w:r>
              <w:rPr>
                <w:sz w:val="20"/>
              </w:rPr>
              <w:t>56</w:t>
            </w:r>
          </w:p>
        </w:tc>
      </w:tr>
      <w:tr>
        <w:trPr/>
        <w:tc>
          <w:tcPr>
            <w:tcW w:w="1160" w:type="dxa"/>
            <w:tcBorders/>
            <w:shd w:fill="FFFFFF" w:val="clear"/>
            <w:vAlign w:val="center"/>
          </w:tcPr>
          <w:p>
            <w:pPr>
              <w:pStyle w:val="TableContents"/>
              <w:bidi w:val="0"/>
              <w:spacing w:before="0" w:after="283"/>
              <w:jc w:val="left"/>
              <w:rPr/>
            </w:pPr>
            <w:r>
              <w:rPr/>
              <w:t> </w:t>
            </w:r>
          </w:p>
        </w:tc>
        <w:tc>
          <w:tcPr>
            <w:tcW w:w="80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235" w:type="dxa"/>
            <w:gridSpan w:val="2"/>
            <w:tcBorders/>
            <w:shd w:fill="CCEEFF" w:val="clear"/>
            <w:vAlign w:val="center"/>
          </w:tcPr>
          <w:p>
            <w:pPr>
              <w:pStyle w:val="TableContents"/>
              <w:bidi w:val="0"/>
              <w:spacing w:before="0" w:after="283"/>
              <w:jc w:val="left"/>
              <w:rPr>
                <w:b/>
                <w:sz w:val="20"/>
              </w:rPr>
            </w:pPr>
            <w:r>
              <w:rPr>
                <w:b/>
                <w:sz w:val="20"/>
              </w:rPr>
              <w:t>ARTICLE XIII DEFEASANCE AND COVENANT DEFEASANCE</w:t>
            </w:r>
          </w:p>
        </w:tc>
        <w:tc>
          <w:tcPr>
            <w:tcW w:w="275" w:type="dxa"/>
            <w:tcBorders/>
            <w:shd w:fill="CCEEFF" w:val="clear"/>
            <w:vAlign w:val="center"/>
          </w:tcPr>
          <w:p>
            <w:pPr>
              <w:pStyle w:val="TableContents"/>
              <w:bidi w:val="0"/>
              <w:spacing w:before="0" w:after="283"/>
              <w:ind w:left="0" w:right="0" w:hanging="0"/>
              <w:jc w:val="center"/>
              <w:rPr>
                <w:b/>
              </w:rPr>
            </w:pPr>
            <w:r>
              <w:rPr>
                <w:b/>
              </w:rPr>
              <w:t>5</w:t>
            </w:r>
            <w:r>
              <w:rPr>
                <w:b/>
                <w:sz w:val="20"/>
              </w:rPr>
              <w:t>6</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13.01</w:t>
            </w:r>
          </w:p>
        </w:tc>
        <w:tc>
          <w:tcPr>
            <w:tcW w:w="8075" w:type="dxa"/>
            <w:tcBorders/>
            <w:shd w:fill="FFFFFF" w:val="clear"/>
            <w:vAlign w:val="center"/>
          </w:tcPr>
          <w:p>
            <w:pPr>
              <w:pStyle w:val="TableContents"/>
              <w:bidi w:val="0"/>
              <w:spacing w:before="0" w:after="283"/>
              <w:jc w:val="left"/>
              <w:rPr>
                <w:sz w:val="20"/>
              </w:rPr>
            </w:pPr>
            <w:r>
              <w:rPr>
                <w:sz w:val="20"/>
              </w:rPr>
              <w:t>Company’s Option to Effect Defeasance or Covenant Defeasance.</w:t>
            </w:r>
          </w:p>
        </w:tc>
        <w:tc>
          <w:tcPr>
            <w:tcW w:w="275" w:type="dxa"/>
            <w:tcBorders/>
            <w:shd w:fill="FFFFFF" w:val="clear"/>
            <w:vAlign w:val="center"/>
          </w:tcPr>
          <w:p>
            <w:pPr>
              <w:pStyle w:val="TableContents"/>
              <w:bidi w:val="0"/>
              <w:spacing w:before="0" w:after="283"/>
              <w:ind w:left="0" w:right="0" w:hanging="0"/>
              <w:jc w:val="center"/>
              <w:rPr>
                <w:sz w:val="20"/>
              </w:rPr>
            </w:pPr>
            <w:r>
              <w:rPr>
                <w:sz w:val="20"/>
              </w:rPr>
              <w:t>56</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13.02</w:t>
            </w:r>
          </w:p>
        </w:tc>
        <w:tc>
          <w:tcPr>
            <w:tcW w:w="8075" w:type="dxa"/>
            <w:tcBorders/>
            <w:shd w:fill="CCEEFF" w:val="clear"/>
            <w:vAlign w:val="center"/>
          </w:tcPr>
          <w:p>
            <w:pPr>
              <w:pStyle w:val="TableContents"/>
              <w:bidi w:val="0"/>
              <w:spacing w:before="0" w:after="283"/>
              <w:jc w:val="left"/>
              <w:rPr>
                <w:sz w:val="20"/>
              </w:rPr>
            </w:pPr>
            <w:r>
              <w:rPr>
                <w:sz w:val="20"/>
              </w:rPr>
              <w:t>Defeasance and Discharge.</w:t>
            </w:r>
          </w:p>
        </w:tc>
        <w:tc>
          <w:tcPr>
            <w:tcW w:w="275" w:type="dxa"/>
            <w:tcBorders/>
            <w:shd w:fill="CCEEFF" w:val="clear"/>
            <w:vAlign w:val="center"/>
          </w:tcPr>
          <w:p>
            <w:pPr>
              <w:pStyle w:val="TableContents"/>
              <w:bidi w:val="0"/>
              <w:spacing w:before="0" w:after="283"/>
              <w:ind w:left="0" w:right="0" w:hanging="0"/>
              <w:jc w:val="center"/>
              <w:rPr/>
            </w:pPr>
            <w:r>
              <w:rPr/>
              <w:t>5</w:t>
            </w:r>
            <w:r>
              <w:rPr>
                <w:sz w:val="20"/>
              </w:rPr>
              <w:t>6</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13.03</w:t>
            </w:r>
          </w:p>
        </w:tc>
        <w:tc>
          <w:tcPr>
            <w:tcW w:w="8075" w:type="dxa"/>
            <w:tcBorders/>
            <w:shd w:fill="FFFFFF" w:val="clear"/>
            <w:vAlign w:val="center"/>
          </w:tcPr>
          <w:p>
            <w:pPr>
              <w:pStyle w:val="TableContents"/>
              <w:bidi w:val="0"/>
              <w:spacing w:before="0" w:after="283"/>
              <w:jc w:val="left"/>
              <w:rPr>
                <w:sz w:val="20"/>
              </w:rPr>
            </w:pPr>
            <w:r>
              <w:rPr>
                <w:sz w:val="20"/>
              </w:rPr>
              <w:t>Covenant Defeasance.</w:t>
            </w:r>
          </w:p>
        </w:tc>
        <w:tc>
          <w:tcPr>
            <w:tcW w:w="275" w:type="dxa"/>
            <w:tcBorders/>
            <w:shd w:fill="FFFFFF" w:val="clear"/>
            <w:vAlign w:val="center"/>
          </w:tcPr>
          <w:p>
            <w:pPr>
              <w:pStyle w:val="TableContents"/>
              <w:bidi w:val="0"/>
              <w:spacing w:before="0" w:after="283"/>
              <w:ind w:left="0" w:right="0" w:hanging="0"/>
              <w:jc w:val="center"/>
              <w:rPr/>
            </w:pPr>
            <w:r>
              <w:rPr/>
              <w:t>56</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13.04</w:t>
            </w:r>
          </w:p>
        </w:tc>
        <w:tc>
          <w:tcPr>
            <w:tcW w:w="8075" w:type="dxa"/>
            <w:tcBorders/>
            <w:shd w:fill="CCEEFF" w:val="clear"/>
            <w:vAlign w:val="center"/>
          </w:tcPr>
          <w:p>
            <w:pPr>
              <w:pStyle w:val="TableContents"/>
              <w:bidi w:val="0"/>
              <w:spacing w:before="0" w:after="283"/>
              <w:jc w:val="left"/>
              <w:rPr>
                <w:sz w:val="20"/>
              </w:rPr>
            </w:pPr>
            <w:r>
              <w:rPr>
                <w:sz w:val="20"/>
              </w:rPr>
              <w:t>Conditions to Defeasance or Covenant Defeasance.</w:t>
            </w:r>
          </w:p>
        </w:tc>
        <w:tc>
          <w:tcPr>
            <w:tcW w:w="275" w:type="dxa"/>
            <w:tcBorders/>
            <w:shd w:fill="CCEEFF" w:val="clear"/>
            <w:vAlign w:val="center"/>
          </w:tcPr>
          <w:p>
            <w:pPr>
              <w:pStyle w:val="TableContents"/>
              <w:bidi w:val="0"/>
              <w:spacing w:before="0" w:after="283"/>
              <w:ind w:left="0" w:right="0" w:hanging="0"/>
              <w:jc w:val="center"/>
              <w:rPr/>
            </w:pPr>
            <w:r>
              <w:rPr/>
              <w:t>57</w:t>
            </w:r>
          </w:p>
        </w:tc>
      </w:tr>
      <w:tr>
        <w:trPr/>
        <w:tc>
          <w:tcPr>
            <w:tcW w:w="1160" w:type="dxa"/>
            <w:tcBorders/>
            <w:shd w:fill="FFFFFF" w:val="clear"/>
            <w:vAlign w:val="center"/>
          </w:tcPr>
          <w:p>
            <w:pPr>
              <w:pStyle w:val="TableContents"/>
              <w:bidi w:val="0"/>
              <w:spacing w:before="0" w:after="283"/>
              <w:ind w:left="0" w:right="0" w:hanging="0"/>
              <w:jc w:val="left"/>
              <w:rPr>
                <w:sz w:val="20"/>
              </w:rPr>
            </w:pPr>
            <w:r>
              <w:rPr>
                <w:sz w:val="20"/>
              </w:rPr>
              <w:t>Section 13.05</w:t>
            </w:r>
          </w:p>
        </w:tc>
        <w:tc>
          <w:tcPr>
            <w:tcW w:w="8075" w:type="dxa"/>
            <w:tcBorders/>
            <w:shd w:fill="FFFFFF" w:val="clear"/>
            <w:vAlign w:val="center"/>
          </w:tcPr>
          <w:p>
            <w:pPr>
              <w:pStyle w:val="TableContents"/>
              <w:bidi w:val="0"/>
              <w:spacing w:before="0" w:after="283"/>
              <w:jc w:val="left"/>
              <w:rPr>
                <w:sz w:val="20"/>
              </w:rPr>
            </w:pPr>
            <w:r>
              <w:rPr>
                <w:sz w:val="20"/>
              </w:rPr>
              <w:t>Deposited Money and U.S. Government Obligations to Be Held in Trust; Miscellaneous Provisions.</w:t>
            </w:r>
          </w:p>
        </w:tc>
        <w:tc>
          <w:tcPr>
            <w:tcW w:w="275" w:type="dxa"/>
            <w:tcBorders/>
            <w:shd w:fill="FFFFFF" w:val="clear"/>
            <w:vAlign w:val="center"/>
          </w:tcPr>
          <w:p>
            <w:pPr>
              <w:pStyle w:val="TableContents"/>
              <w:bidi w:val="0"/>
              <w:spacing w:before="0" w:after="283"/>
              <w:ind w:left="0" w:right="0" w:hanging="0"/>
              <w:jc w:val="center"/>
              <w:rPr/>
            </w:pPr>
            <w:r>
              <w:rPr/>
              <w:t>5</w:t>
            </w:r>
            <w:r>
              <w:rPr>
                <w:sz w:val="20"/>
              </w:rPr>
              <w:t>8</w:t>
            </w:r>
          </w:p>
        </w:tc>
      </w:tr>
      <w:tr>
        <w:trPr/>
        <w:tc>
          <w:tcPr>
            <w:tcW w:w="1160" w:type="dxa"/>
            <w:tcBorders/>
            <w:shd w:fill="CCEEFF" w:val="clear"/>
            <w:vAlign w:val="center"/>
          </w:tcPr>
          <w:p>
            <w:pPr>
              <w:pStyle w:val="TableContents"/>
              <w:bidi w:val="0"/>
              <w:spacing w:before="0" w:after="283"/>
              <w:ind w:left="0" w:right="0" w:hanging="0"/>
              <w:jc w:val="left"/>
              <w:rPr>
                <w:sz w:val="20"/>
              </w:rPr>
            </w:pPr>
            <w:r>
              <w:rPr>
                <w:sz w:val="20"/>
              </w:rPr>
              <w:t>Section 13.06</w:t>
            </w:r>
          </w:p>
        </w:tc>
        <w:tc>
          <w:tcPr>
            <w:tcW w:w="8075" w:type="dxa"/>
            <w:tcBorders/>
            <w:shd w:fill="CCEEFF" w:val="clear"/>
            <w:vAlign w:val="center"/>
          </w:tcPr>
          <w:p>
            <w:pPr>
              <w:pStyle w:val="TableContents"/>
              <w:bidi w:val="0"/>
              <w:spacing w:before="0" w:after="283"/>
              <w:jc w:val="left"/>
              <w:rPr>
                <w:sz w:val="20"/>
              </w:rPr>
            </w:pPr>
            <w:r>
              <w:rPr>
                <w:sz w:val="20"/>
              </w:rPr>
              <w:t>Reinstatement.</w:t>
            </w:r>
          </w:p>
        </w:tc>
        <w:tc>
          <w:tcPr>
            <w:tcW w:w="275" w:type="dxa"/>
            <w:tcBorders/>
            <w:shd w:fill="CCEEFF" w:val="clear"/>
            <w:vAlign w:val="center"/>
          </w:tcPr>
          <w:p>
            <w:pPr>
              <w:pStyle w:val="TableContents"/>
              <w:bidi w:val="0"/>
              <w:spacing w:before="0" w:after="283"/>
              <w:jc w:val="center"/>
              <w:rPr/>
            </w:pPr>
            <w:r>
              <w:rPr/>
              <w:t>5</w:t>
            </w:r>
            <w:r>
              <w:rPr>
                <w:sz w:val="20"/>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INDENTURE, dated as of July 16, 2026, between </w:t>
      </w:r>
      <w:r>
        <w:rPr>
          <w:rFonts w:ascii="Times New Roman;Times;Serif" w:hAnsi="Times New Roman;Times;Serif"/>
          <w:b/>
          <w:i w:val="false"/>
          <w:caps w:val="false"/>
          <w:smallCaps w:val="false"/>
          <w:sz w:val="20"/>
        </w:rPr>
        <w:t>HEICO CORPORATION</w:t>
      </w:r>
      <w:r>
        <w:rPr>
          <w:rFonts w:ascii="Times New Roman;Times;Serif" w:hAnsi="Times New Roman;Times;Serif"/>
          <w:b w:val="false"/>
          <w:i w:val="false"/>
          <w:caps w:val="false"/>
          <w:smallCaps w:val="false"/>
          <w:sz w:val="20"/>
        </w:rPr>
        <w:t>, a corporation duly organized and existing under the laws of the State of Florida (herein called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having its principal executive office located at 3000 Taft Street, Hollywood, Florida 33021, and </w:t>
      </w:r>
      <w:r>
        <w:rPr>
          <w:rFonts w:ascii="Times New Roman;Times;Serif" w:hAnsi="Times New Roman;Times;Serif"/>
          <w:b/>
          <w:i w:val="false"/>
          <w:caps w:val="false"/>
          <w:smallCaps w:val="false"/>
          <w:sz w:val="20"/>
        </w:rPr>
        <w:t>TRUIST BANK</w:t>
      </w:r>
      <w:r>
        <w:rPr>
          <w:rFonts w:ascii="Times New Roman;Times;Serif" w:hAnsi="Times New Roman;Times;Serif"/>
          <w:b w:val="false"/>
          <w:i w:val="false"/>
          <w:caps w:val="false"/>
          <w:smallCaps w:val="false"/>
          <w:sz w:val="20"/>
        </w:rPr>
        <w:t>, a North Carolina banking corporation, as trustee (herein called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Indenture to provide for the issuance from time to time of the Company’s unsecured senior debentures, notes or other evidences of indebtedness (herein called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to be issued in one or more series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subject to the applicable provisions of the Trust Indenture Act of 1939, as amended, and the rules and regulations of the Securities and Exchange Commission promulgated thereunder and shall be governed by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and in consideration of the premises and the purchase of the Securities by the Holders (as defined herein) thereof, it is mutually agreed, for the equal and proportionate benefit of all Holders of the Securities or of any series thereof,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 AND OTHER PROVISIONS OF GENERAL APPLICATION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1.01</w:t>
        <w:tab/>
      </w:r>
      <w:r>
        <w:rPr>
          <w:rFonts w:ascii="Times New Roman;Times;Serif" w:hAnsi="Times New Roman;Times;Serif"/>
          <w:b/>
          <w:i/>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Article have the meanings assigned to them in this Article and include the plural as well as the singular and the masculine gender shall include the feminine and neuter, and vice versa,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other terms used herein which are defined in the Trust Indenture Act, either directly or by reference therein, have the meanings assigned to them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accounting terms not otherwise defined herein have the meanings assigned to them in accordance with generally accepted accounting principles in the United States of America (including, if applicable, International Financial Reporting Standards)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context otherwise requires, any reference to an “</w:t>
      </w:r>
      <w:r>
        <w:rPr>
          <w:rFonts w:ascii="Times New Roman;Times;Serif" w:hAnsi="Times New Roman;Times;Serif"/>
          <w:b/>
          <w:i/>
          <w:caps w:val="false"/>
          <w:smallCaps w:val="false"/>
          <w:sz w:val="20"/>
        </w:rPr>
        <w:t>Article</w:t>
      </w:r>
      <w:r>
        <w:rPr>
          <w:rFonts w:ascii="Times New Roman;Times;Serif" w:hAnsi="Times New Roman;Times;Serif"/>
          <w:b w:val="false"/>
          <w:i w:val="false"/>
          <w:caps w:val="false"/>
          <w:smallCaps w:val="false"/>
          <w:sz w:val="20"/>
        </w:rPr>
        <w:t>” or a “</w:t>
      </w:r>
      <w:r>
        <w:rPr>
          <w:rFonts w:ascii="Times New Roman;Times;Serif" w:hAnsi="Times New Roman;Times;Serif"/>
          <w:b/>
          <w:i/>
          <w:caps w:val="false"/>
          <w:smallCaps w:val="false"/>
          <w:sz w:val="20"/>
        </w:rPr>
        <w:t>Section</w:t>
      </w:r>
      <w:r>
        <w:rPr>
          <w:rFonts w:ascii="Times New Roman;Times;Serif" w:hAnsi="Times New Roman;Times;Serif"/>
          <w:b w:val="false"/>
          <w:i w:val="false"/>
          <w:caps w:val="false"/>
          <w:smallCaps w:val="false"/>
          <w:sz w:val="20"/>
        </w:rPr>
        <w:t>” refers to an Article or a Section, as the case may be,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words “</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or</w:t>
      </w:r>
      <w:r>
        <w:rPr>
          <w:rFonts w:ascii="Times New Roman;Times;Serif" w:hAnsi="Times New Roman;Times;Serif"/>
          <w:b w:val="false"/>
          <w:i w:val="false"/>
          <w:caps w:val="false"/>
          <w:smallCaps w:val="false"/>
          <w:sz w:val="20"/>
        </w:rPr>
        <w:t>” is not exclusive, and “including” means “including without limitation”, “including but not limited to” or words of similar import;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these words are not intended to refer to any right of the Holder or the Company to exchange such Security for other Securities of the same series and like tenor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or another similar provisions of this Indenture, unless the context otherwise requires; and references herein to the terms of any Security that may be converted mean such terms as may be specified for such Security as contemplated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xml:space="preserve">”, when used with respect to any Holder,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Procedures</w:t>
      </w:r>
      <w:r>
        <w:rPr>
          <w:rFonts w:ascii="Times New Roman;Times;Serif" w:hAnsi="Times New Roman;Times;Serif"/>
          <w:b w:val="false"/>
          <w:i w:val="false"/>
          <w:caps w:val="false"/>
          <w:smallCaps w:val="false"/>
          <w:sz w:val="20"/>
        </w:rPr>
        <w:t>” of a Depositary means, with respect to any transfer, exchange, transaction or other matter at any time, involving a Global Security, the rules policies and procedures of such Depositary, if any, that are applicable to such matter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xml:space="preserve">” means any Person authorized by the Trustee pursuant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to act on behalf of the Trustee to authenticate Securities of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when used with reference to the Company means the board of directors of the Company, or any duly authorized committee of that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of the Company,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when used with respect to any Place of Payment, means, except as otherwise provided or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each Monday, Tuesday, Wednesday, Thursday and Friday which is not a day on which commercial banking institutions in that Place of Payment are authorized or obligated by law or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Request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Company Order</w:t>
      </w:r>
      <w:r>
        <w:rPr>
          <w:rFonts w:ascii="Times New Roman;Times;Serif" w:hAnsi="Times New Roman;Times;Serif"/>
          <w:b w:val="false"/>
          <w:i w:val="false"/>
          <w:caps w:val="false"/>
          <w:smallCaps w:val="false"/>
          <w:sz w:val="20"/>
        </w:rPr>
        <w:t>” mean, respectively, a written request or order, as the case may be, signed in the name of the Company by any Senior Officer, the Treasurer of the Company or the General Counsel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(currently at 2713 Forest Hills Road, S.W., Building 2, Floor 2, Wilson, NC 27893, Attention: Corporate Trust and Escrow Services) at which at any particular time its corporate trust business with respect to the Securities shall be administered, or at any other time at such other address as the Trustee may designate from time to time by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means a corporation, association, limited liability company, company, joint-stock company or business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Covenant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means the Revolving Credit Agreement, dated as of November 6, 2017, by and among the Company and the several banks and other financial institutions from time to time who are a party thereto, and Truist Bank, as amended and as may be further amended, restated, supplemented, refinanced, refunded or replaced from time to time, including any such refinancing, refunding or replacement that increases the amount of borrowings thereunder or alters the maturity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and any statute successor thereto, in each case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xml:space="preserve">” means a Security that evidences all or part of the Securities of any series and bears the legend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(or such legend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and which is registered in the name of the Depositary for such series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means a Person in whose name a Security is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w:t>
      </w:r>
      <w:r>
        <w:rPr>
          <w:rFonts w:ascii="Times New Roman;Times;Serif" w:hAnsi="Times New Roman;Times;Serif"/>
          <w:b w:val="false"/>
          <w:i w:val="false"/>
          <w:caps w:val="false"/>
          <w:smallCaps w:val="false"/>
          <w:sz w:val="20"/>
        </w:rPr>
        <w:t>”, when used with respect to an Original Issue Discount Security which by its terms bears interest only after Maturity, means interest payable after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Security, means the Stated Maturity of an installment of interest on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Issue Date</w:t>
      </w:r>
      <w:r>
        <w:rPr>
          <w:rFonts w:ascii="Times New Roman;Times;Serif" w:hAnsi="Times New Roman;Times;Serif"/>
          <w:b w:val="false"/>
          <w:i w:val="false"/>
          <w:caps w:val="false"/>
          <w:smallCaps w:val="false"/>
          <w:sz w:val="20"/>
        </w:rPr>
        <w:t>” means the date on which the Securities are initially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mandatory sinking fund payment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“Material Subsidiary” of the Company as defined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Maturity</w:t>
      </w:r>
      <w:r>
        <w:rPr>
          <w:rFonts w:ascii="Times New Roman;Times;Serif" w:hAnsi="Times New Roman;Times;Serif"/>
          <w:b w:val="false"/>
          <w:i w:val="false"/>
          <w:caps w:val="false"/>
          <w:smallCaps w:val="false"/>
          <w:sz w:val="20"/>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Default</w:t>
      </w:r>
      <w:r>
        <w:rPr>
          <w:rFonts w:ascii="Times New Roman;Times;Serif" w:hAnsi="Times New Roman;Times;Serif"/>
          <w:b w:val="false"/>
          <w:i w:val="false"/>
          <w:caps w:val="false"/>
          <w:smallCaps w:val="false"/>
          <w:sz w:val="20"/>
        </w:rPr>
        <w:t xml:space="preserve">” means a written notice of the kind specified in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by any Senior Officer, the Treasurer or the General Counsel of such Person that, if required by the Trust Indenture Act, complies with the requirements of Section 314(e) of the Trust Indenture Act. Notwithstanding the foregoing, the Officer’s Certificate required by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shall be signed by one of the following: any Senior Officer, the principal accounting officer of the Company or the Treasurer of the Company.</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 written opinion of counsel, who may be an employee of, or outside counsel to, the Company or an Affiliate of the Company, and who shall be acceptable to the Trustee, which acceptance shall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optional sinking fund payment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Original Issue Discount Security</w:t>
      </w:r>
      <w:r>
        <w:rPr>
          <w:rFonts w:ascii="Times New Roman;Times;Serif" w:hAnsi="Times New Roman;Times;Serif"/>
          <w:b w:val="false"/>
          <w:i w:val="false"/>
          <w:caps w:val="false"/>
          <w:smallCaps w:val="false"/>
          <w:sz w:val="20"/>
        </w:rPr>
        <w:t xml:space="preserve">” means any Security which provides for an amount less than the principal amount thereof to be due and payable upon a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respect to Securities, means, as of the date of determination, all Securities theretofore authenticated and delivered under this Indenture, except: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Securities theretofore cancelled and delivered to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Securities, except to the extent provided in </w:t>
      </w:r>
      <w:r>
        <w:rPr>
          <w:rFonts w:ascii="Times New Roman;Times;Serif" w:hAnsi="Times New Roman;Times;Serif"/>
          <w:b w:val="false"/>
          <w:i w:val="false"/>
          <w:caps w:val="false"/>
          <w:smallCaps w:val="false"/>
          <w:sz w:val="20"/>
          <w:u w:val="single"/>
        </w:rPr>
        <w:t>Sections 13.02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respectively, as to which the Company has effected Defeasance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Covenant Defeasance pursuant to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Securities which have been paid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Securities as to which any property deliverable upon conversion thereof has been delivered (or such delivery has been made available), or as to which any other particular conditions have been satisfied, in each case as may be provided for such Securities as contemplated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actually knows to be so owned shall be so disregarded. Upon the written request of the Trustee, the Company shall furnish to the Trustee promptly an Officer’s Certificate listing and identifying all Securities, if any, known by the Company to be owned or held by or for the account of the Company, or any other obligor on the Securities or any Affiliate of the Company or such obligor, and the Trustee shall be entitled to accept such Officer’s Certificate as conclusive evidence of the facts therein set forth and of the fact that all Securities not listed therein are Outstanding for the purpose of any such determination.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Paying Agent</w:t>
      </w:r>
      <w:r>
        <w:rPr>
          <w:rFonts w:ascii="Times New Roman;Times;Serif" w:hAnsi="Times New Roman;Times;Serif"/>
          <w:b w:val="false"/>
          <w:i w:val="false"/>
          <w:caps w:val="false"/>
          <w:smallCaps w:val="false"/>
          <w:sz w:val="20"/>
        </w:rPr>
        <w:t>” means any Person authorized by the Company to pay the principal of or any premium or interest on any Securities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(including a limited liability company), partnership,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Place of Payment</w:t>
      </w:r>
      <w:r>
        <w:rPr>
          <w:rFonts w:ascii="Times New Roman;Times;Serif" w:hAnsi="Times New Roman;Times;Serif"/>
          <w:b w:val="false"/>
          <w:i w:val="false"/>
          <w:caps w:val="false"/>
          <w:smallCaps w:val="false"/>
          <w:sz w:val="20"/>
        </w:rPr>
        <w:t xml:space="preserve">”, when used with respect to the Securities of any series, means the place or places where the principal of and any premium and interest on the Securities that series are payable as specified or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in exchange for or in lieu of a mutilated, destroyed, lost or stolen Security shall be deemed to evidence the same debt as the mutilated, destroyed, lost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when used with respect to any Security to be redeemed, means the date fixed for such redemption by or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when used with respect to any Security to be redeemed, means the price at which it is to be redeemed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Regular Record Date</w:t>
      </w:r>
      <w:r>
        <w:rPr>
          <w:rFonts w:ascii="Times New Roman;Times;Serif" w:hAnsi="Times New Roman;Times;Serif"/>
          <w:b w:val="false"/>
          <w:i w:val="false"/>
          <w:caps w:val="false"/>
          <w:smallCaps w:val="false"/>
          <w:sz w:val="20"/>
        </w:rPr>
        <w:t xml:space="preserve">” for the interest payable on the Securities of any series means the date whether or not a Business Day specified for that purpose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of the Trustee in its corporate trust department and also means, with respect to a particular corporate trust matter, any other officer to whom such matter is referred internally because of such officer’s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Subsidiary</w:t>
      </w:r>
      <w:r>
        <w:rPr>
          <w:rFonts w:ascii="Times New Roman;Times;Serif" w:hAnsi="Times New Roman;Times;Serif"/>
          <w:b w:val="false"/>
          <w:i w:val="false"/>
          <w:caps w:val="false"/>
          <w:smallCaps w:val="false"/>
          <w:sz w:val="20"/>
        </w:rPr>
        <w:t>” means any Subsidiary of the Company that is not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and any statute successor thereto, in each case as amended from time to time. “</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xml:space="preserve">” have the respective meanings specified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Senior Officer</w:t>
      </w:r>
      <w:r>
        <w:rPr>
          <w:rFonts w:ascii="Times New Roman;Times;Serif" w:hAnsi="Times New Roman;Times;Serif"/>
          <w:b w:val="false"/>
          <w:i w:val="false"/>
          <w:caps w:val="false"/>
          <w:smallCaps w:val="false"/>
          <w:sz w:val="20"/>
        </w:rPr>
        <w:t>” means the Chief Executive Officer, the Chief Financial Officer, a President, a Vice President, the Treasurer, an Assistant Treasurer, the Secretary or an Assistant Secretary of the Company or any other officer or officers designated in a Board Resolution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in force at the date as of which this Indenture was executed, except as otherwise provided in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provided, however, that in the event the Trust Indenture Act of 1939 is amended after such date, “Trust Indenture Act” means, to the extent required by any such amendment, the Trust Indenture Act of 1939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Obligation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U.S.A. Patriot Act” means the Uniting and Strengthening America by Providing Appropriate Tools Required to Intercept and Obstruct Terrorism Act of 2001, Pub. L. Compliance 107-56,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Subsidiary</w:t>
      </w:r>
      <w:r>
        <w:rPr>
          <w:rFonts w:ascii="Times New Roman;Times;Serif" w:hAnsi="Times New Roman;Times;Serif"/>
          <w:b w:val="false"/>
          <w:i w:val="false"/>
          <w:caps w:val="false"/>
          <w:smallCaps w:val="false"/>
          <w:sz w:val="20"/>
        </w:rPr>
        <w:t>” means each Subsidiary of the Company that is (i) an “Unrestricted Subsidiary” under the Credit Agreement as of the date hereof; and (ii) hereafter designated as such by the Company to the Trustee from time to time; provided that a Subsidiary shall only be designated as an Unrestricted Subsidiary if the Company has also designated such Subsidiary as an “Unrestricted Subsidiary” (or any substantially similar designation) pursuant to the Credit Agreement. The Company may designate any Unrestricted Subsidiary to be a Restricted Subsidiary for purposes of this Indenture at any time if it have also designated such Subsidiary as a “Restricted Subsidiary” (or any substantially similar designation) pursuant to the Credit Agreement.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1.02</w:t>
        <w:tab/>
      </w:r>
      <w:r>
        <w:rPr>
          <w:rFonts w:ascii="Times New Roman;Times;Serif" w:hAnsi="Times New Roman;Times;Serif"/>
          <w:b/>
          <w:i/>
          <w:caps w:val="false"/>
          <w:smallCaps w:val="false"/>
          <w:sz w:val="20"/>
        </w:rPr>
        <w:t>Compliance Certificates and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Company to the Trustee to take or refrain from taking any action under any provision of this Indenture, the Company shall furnish to the Trustee such certificates and opinions as may be required under the Trust Indenture Act and stating that all conditions precedent to such act or omission have been complied with. Each such certificate and opinion shall be given in the form of an Officer’s Certificate, if to be given by the Company, and an Opinion of Counsel, if to be given by counsel, and shall comply with the requirements of the Trust Indenture Act and any other requirements set forth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certificate or opinion with respect to compliance with a condition or covenant provided for in this Indenture (except for certificates provided in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individual signing such certificate or opinion has read such covenant or condition and the definitions herein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each such individual, such condition or covenant has been complied with.</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1.03</w:t>
        <w:tab/>
      </w:r>
      <w:r>
        <w:rPr>
          <w:rFonts w:ascii="Times New Roman;Times;Serif" w:hAnsi="Times New Roman;Times;Serif"/>
          <w:b/>
          <w:i/>
          <w:caps w:val="false"/>
          <w:smallCaps w:val="false"/>
          <w:sz w:val="20"/>
        </w:rPr>
        <w:t>Form of Documents Delivered to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Counsel delivering an Opinion of Counsel may also rely as to factual matters on certificates of governmental or other officials customary for opinions of the type required. 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1.04</w:t>
        <w:tab/>
      </w:r>
      <w:r>
        <w:rPr>
          <w:rFonts w:ascii="Times New Roman;Times;Serif" w:hAnsi="Times New Roman;Times;Serif"/>
          <w:b/>
          <w:i/>
          <w:caps w:val="false"/>
          <w:smallCaps w:val="false"/>
          <w:sz w:val="20"/>
        </w:rPr>
        <w:t>Acts of Holders; Record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(either physically or by means of a facsimile or electronic transmission, including through the facilities of the Depositary) in person or by an agent duly appointed in writing; and, except as herein otherwise expressly provided, such action shall become effective when such instrument or instruments are delivered (either physically or by means of a facsimile or electronic transmission, including through the facilities of the Depositary)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 Without limiting the generality of the foregoing, a Holder, including a Depositary that is a Holder of a Global Security, may make, give or take, by a proxy or proxies, duly appointed in writing, any request, demand, authorization, direction, notice, consent, waiver or other action provided in this Indenture to be made, given or taken by Holders, and a Depositary that is a Holder of a Global Security may provide its proxy or proxies to the beneficial owners of interests in any such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 The ownership, principal amount and serial numbers of Securities held by any Person, and the date of commencement of such Person’s holding the same, shall be proved by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(iii) any request to institute proceedings referred to in </w:t>
      </w:r>
      <w:r>
        <w:rPr>
          <w:rFonts w:ascii="Times New Roman;Times;Serif" w:hAnsi="Times New Roman;Times;Serif"/>
          <w:b w:val="false"/>
          <w:i w:val="false"/>
          <w:caps w:val="false"/>
          <w:smallCaps w:val="false"/>
          <w:sz w:val="20"/>
          <w:u w:val="single"/>
        </w:rPr>
        <w:t>Section 5.07(b)</w:t>
      </w:r>
      <w:r>
        <w:rPr>
          <w:rFonts w:ascii="Times New Roman;Times;Serif" w:hAnsi="Times New Roman;Times;Serif"/>
          <w:b w:val="false"/>
          <w:i w:val="false"/>
          <w:caps w:val="false"/>
          <w:smallCaps w:val="false"/>
          <w:sz w:val="20"/>
        </w:rPr>
        <w:t xml:space="preserve"> or (iv) any direction referred to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record date set pursuant to this Section, the party hereto which sets such record date may designate any day as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on or prior to the then existing Expiration Date. If an Expiration Date is not designated with respect to any record date set pursuant to this Section, the party hereto which set such record date shall be deemed to have initially designated the 180th day following such record date as the Expiration Date with respect thereto, subject to its right to change the Expiration Date as provided in this paragraph. Notwithstanding the foregoing, no Expiration Date shall be later than the 180th day following the applicable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1.05</w:t>
        <w:tab/>
      </w:r>
      <w:r>
        <w:rPr>
          <w:rFonts w:ascii="Times New Roman;Times;Serif" w:hAnsi="Times New Roman;Times;Serif"/>
          <w:b/>
          <w:i/>
          <w:caps w:val="false"/>
          <w:smallCaps w:val="false"/>
          <w:sz w:val="20"/>
        </w:rPr>
        <w:t>Notices, Etc., to Trustee 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by any Holder or by the Company shall be sufficient for every purpose hereunder if made, given, furnished or filed in writing (which may be by facsimile or electronic transmission) to or with the Trustee at its Corporate Trust Office, Attention: Corporate Trust and Escrow Services or at any other address furnished in writing to the Company by the Trustee;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by the Trustee or by any Holder shall be sufficient for every purpose hereunder (unless otherwise herein expressly provided) if in writing and mailed, first-class postage prepaid, to the Company addressed to the attention of the Treasurer at the address of the Company’s principal executive office specified in the first paragraph of this Indenture or at any other address previously furnished in writing to the Trustee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1.06</w:t>
        <w:tab/>
      </w:r>
      <w:r>
        <w:rPr>
          <w:rFonts w:ascii="Times New Roman;Times;Serif" w:hAnsi="Times New Roman;Times;Serif"/>
          <w:b/>
          <w:i/>
          <w:caps w:val="false"/>
          <w:smallCaps w:val="false"/>
          <w:sz w:val="20"/>
        </w:rPr>
        <w:t>Notice to Holders;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1.07</w:t>
        <w:tab/>
      </w:r>
      <w:r>
        <w:rPr>
          <w:rFonts w:ascii="Times New Roman;Times;Serif" w:hAnsi="Times New Roman;Times;Serif"/>
          <w:b/>
          <w:i/>
          <w:caps w:val="false"/>
          <w:smallCaps w:val="false"/>
          <w:sz w:val="20"/>
        </w:rPr>
        <w:t>Conflict with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subject to the provisions of the Trust Indenture Act that are required to be a part of this Indenture and, to the extent applicable, shall be governed by such provisions. If any provision hereof limits, qualifies or conflicts with a provision of the Trust Indenture Act or with another provision hereof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excluded, as the case may be.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1.08</w:t>
        <w:tab/>
      </w:r>
      <w:r>
        <w:rPr>
          <w:rFonts w:ascii="Times New Roman;Times;Serif" w:hAnsi="Times New Roman;Times;Serif"/>
          <w:b/>
          <w:i/>
          <w:caps w:val="false"/>
          <w:smallCaps w:val="false"/>
          <w:sz w:val="20"/>
        </w:rPr>
        <w:t>Effect of Headings and Table of Contents.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1.09</w:t>
        <w:tab/>
      </w:r>
      <w:r>
        <w:rPr>
          <w:rFonts w:ascii="Times New Roman;Times;Serif" w:hAnsi="Times New Roman;Times;Serif"/>
          <w:b/>
          <w:i/>
          <w:caps w:val="false"/>
          <w:smallCaps w:val="false"/>
          <w:sz w:val="20"/>
        </w:rPr>
        <w:t>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whether so expressed or not. All agreements of the Trustee in this Indenture shall bind its successors and assigns, whether so expressed or not.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w:t>
        <w:tab/>
      </w:r>
      <w:r>
        <w:rPr>
          <w:rFonts w:ascii="Times New Roman;Times;Serif" w:hAnsi="Times New Roman;Times;Serif"/>
          <w:b/>
          <w:i/>
          <w:caps w:val="false"/>
          <w:smallCaps w:val="false"/>
          <w:sz w:val="20"/>
        </w:rPr>
        <w:t>Separability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1.11</w:t>
        <w:tab/>
      </w:r>
      <w:r>
        <w:rPr>
          <w:rFonts w:ascii="Times New Roman;Times;Serif" w:hAnsi="Times New Roman;Times;Serif"/>
          <w:b/>
          <w:i/>
          <w:caps w:val="false"/>
          <w:smallCaps w:val="false"/>
          <w:sz w:val="20"/>
        </w:rPr>
        <w:t>Benefits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Indenture or in the Securities, express or implied, shall give to any Person, other than the parties hereto and their successors hereunder and the Holders, any benefit or any legal or equitable right, remedy or claim under this Indenture, except as may otherwise be expressly provided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specific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1.12</w:t>
        <w:tab/>
      </w:r>
      <w:r>
        <w:rPr>
          <w:rFonts w:ascii="Times New Roman;Times;Serif" w:hAnsi="Times New Roman;Times;Serif"/>
          <w:b/>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1.13</w:t>
        <w:tab/>
      </w:r>
      <w:r>
        <w:rPr>
          <w:rFonts w:ascii="Times New Roman;Times;Serif" w:hAnsi="Times New Roman;Times;Serif"/>
          <w:b/>
          <w:i/>
          <w:caps w:val="false"/>
          <w:smallCaps w:val="false"/>
          <w:sz w:val="20"/>
        </w:rPr>
        <w:t>Legal Holidays.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Stated Maturity, or on such conversion date.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1.14</w:t>
        <w:tab/>
      </w:r>
      <w:r>
        <w:rPr>
          <w:rFonts w:ascii="Times New Roman;Times;Serif" w:hAnsi="Times New Roman;Times;Serif"/>
          <w:b/>
          <w:i/>
          <w:caps w:val="false"/>
          <w:smallCaps w:val="false"/>
          <w:sz w:val="20"/>
        </w:rPr>
        <w:t>Counterparts; 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any supplemental indenture or any certificate or other document delivered pursuant to this Indenture or any supplemental indenture may be executed in several counterparts, each of which shall be an original and all of which shall constitute but one and the same instrument. This Indenture and any supplemental indenture shall be valid, binding, and enforceable against a party, and, except as otherwise provided in this Indenture or any supplemental indenture, any certificate or other document delivered pursuant to this Indenture or any supplemental indenture shall be deemed to be duly signed and delivered,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New York Uniform Commercial Code (collectively, “</w:t>
      </w:r>
      <w:r>
        <w:rPr>
          <w:rFonts w:ascii="Times New Roman;Times;Serif" w:hAnsi="Times New Roman;Times;Serif"/>
          <w:b/>
          <w:i/>
          <w:caps w:val="false"/>
          <w:smallCaps w:val="false"/>
          <w:sz w:val="20"/>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New York Uniform Commercial Code or other Signature Law due to the character or intended character of the writings. All notices, approvals, consents, requests and any communications hereunder must be in writing (provided that any such communication sent to Trustee hereunder must be in the form of a document that is signed manually or by way of a digital signature provided by the electronic signature provider that the Company plans to use (or such other digital signature provider as specified in writing to Trustee by the authorized representative)), in English. The Trustee shall have no duty to inquire into or investigate the authenticity or authorization of any electronic signature and shall be entitled to conclusively rely on any such electronic signature without any liability with respect thereto.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1.15</w:t>
        <w:tab/>
      </w:r>
      <w:r>
        <w:rPr>
          <w:rFonts w:ascii="Times New Roman;Times;Serif" w:hAnsi="Times New Roman;Times;Serif"/>
          <w:b/>
          <w:i/>
          <w:caps w:val="false"/>
          <w:smallCaps w:val="false"/>
          <w:sz w:val="20"/>
        </w:rPr>
        <w:t>Incorporators, Equityholders, Directors, Members, Managers, Officers and Employees of the Company Exempt from Individual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contained in this Indenture, or in any Security, or because of any indebtedness evidenced thereby, shall be had against any incorporator, as such, or against any past, present or future equityholder, director, member, manager, officer or employee, as such, of the Company, or of any of its successors, either directly or through the Company or any of its respective successors,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1.16</w:t>
        <w:tab/>
      </w:r>
      <w:r>
        <w:rPr>
          <w:rFonts w:ascii="Times New Roman;Times;Serif" w:hAnsi="Times New Roman;Times;Serif"/>
          <w:b/>
          <w:i/>
          <w:caps w:val="false"/>
          <w:smallCaps w:val="false"/>
          <w:sz w:val="20"/>
        </w:rPr>
        <w:t>WAIVER OF JURY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HOLDERS AND THE TRUSTEE HEREBY IRREVOCABLY WAIVES, TO THE FULLEST EXTENT PERMITTED BY APPLICABLE LAW, ANY AND ALL RIGHT TO TRIAL BY JURY IN ANY LEGAL PROCEEDING AS BETWEEN THE COMPANY AND THE TRUSTEE ONLY ARISING OUT OF OR RELATING TO THIS INDENTURE OR THE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1.17</w:t>
        <w:tab/>
      </w:r>
      <w:r>
        <w:rPr>
          <w:rFonts w:ascii="Times New Roman;Times;Serif" w:hAnsi="Times New Roman;Times;Serif"/>
          <w:b/>
          <w:i/>
          <w:caps w:val="false"/>
          <w:smallCaps w:val="false"/>
          <w:sz w:val="20"/>
        </w:rPr>
        <w:t>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the Customer Identification Program (CIP)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1.18</w:t>
        <w:tab/>
      </w:r>
      <w:r>
        <w:rPr>
          <w:rFonts w:ascii="Times New Roman;Times;Serif" w:hAnsi="Times New Roman;Times;Serif"/>
          <w:b/>
          <w:i/>
          <w:caps w:val="false"/>
          <w:smallCaps w:val="false"/>
          <w:sz w:val="20"/>
        </w:rPr>
        <w:t>Jurisdiction; Consent to Service of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hereto irrevocably and unconditionally submits, for itself and its property, to the nonexclusive jurisdiction of any U.S. Federal or New York State court sitting in the Borough of Manhattan, New York, New York in any action or proceeding arising out of or relating to this Indenture,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Indenture shall affect any right that Company, the Trustee or any Holder may otherwise have to bring any action or proceeding relating to this Indenture against any party hereto or its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hereto hereby irrevocably and unconditionally waives, to the fullest extent it may legally and effectively do so, any objection which it may now or hereafter have to the laying of venue of any suit, action or proceeding arising out of or relating to this Indenture in any court referred to in </w:t>
      </w:r>
      <w:r>
        <w:rPr>
          <w:rFonts w:ascii="Times New Roman;Times;Serif" w:hAnsi="Times New Roman;Times;Serif"/>
          <w:b w:val="false"/>
          <w:i w:val="false"/>
          <w:caps w:val="false"/>
          <w:smallCaps w:val="false"/>
          <w:sz w:val="20"/>
          <w:u w:val="single"/>
        </w:rPr>
        <w:t>Section 1.18(a)</w:t>
      </w:r>
      <w:r>
        <w:rPr>
          <w:rFonts w:ascii="Times New Roman;Times;Serif" w:hAnsi="Times New Roman;Times;Serif"/>
          <w:b w:val="false"/>
          <w:i w:val="false"/>
          <w:caps w:val="false"/>
          <w:smallCaps w:val="false"/>
          <w:sz w:val="20"/>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1.19</w:t>
        <w:tab/>
      </w:r>
      <w:r>
        <w:rPr>
          <w:rFonts w:ascii="Times New Roman;Times;Serif" w:hAnsi="Times New Roman;Times;Serif"/>
          <w:b/>
          <w:i/>
          <w:caps w:val="false"/>
          <w:smallCaps w:val="false"/>
          <w:sz w:val="20"/>
        </w:rPr>
        <w:t>Calculations in Respect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agents shall make all calculations under this Indenture and the Securities. These calculations include, but are not limited to, determinations of the Redemption Price and the amount of interest payable on the Securities. The Company and its agents shall make all of these calculations in good faith, and, absent manifest error, such calculations shall be final and binding on all Holders. The Company shall provide a copy of such calculations as required hereunder, and the Trustee shall be entitled to conclusively rely on the accuracy of any such calculations without independent verification. The Trustee will forward the Company’s calculations to any Holder upon the request of that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SECURITY FORM</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2.01</w:t>
        <w:tab/>
      </w:r>
      <w:r>
        <w:rPr>
          <w:rFonts w:ascii="Times New Roman;Times;Serif" w:hAnsi="Times New Roman;Times;Serif"/>
          <w:b/>
          <w:i/>
          <w:caps w:val="false"/>
          <w:smallCaps w:val="false"/>
          <w:sz w:val="20"/>
        </w:rPr>
        <w:t>Forms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of each series and the Trustee’s certificate of authentication shall be in substantially the form set forth in Exhibit A, or in such other form or forms as shall be established by or pursuant to a Board Resolution and,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to the extent established in an Officer’s Certificate setting forth, or determining the manner of,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laws or the rules of any securities exchange or automated quotation system on which the Securities of such series may be listed or traded or of any Depositary therefor or as may, consistently herewith, be determined by the officers executing such Securities, as evidenced by their execution thereof. If the form or forms of Securities of any series is established by action taken pursuant to a Board Resolution, a copy of an appropriate record of such action shall be certified by the Secretary or an Assistant Secretary of the Company and, together with such Board Resolution and the applicable Officer’s Certificate, delivered to the Trustee at or prior to the delivery of the Company Order contemplated by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for the authentication and delivery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2.02</w:t>
        <w:tab/>
      </w:r>
      <w:r>
        <w:rPr>
          <w:rFonts w:ascii="Times New Roman;Times;Serif" w:hAnsi="Times New Roman;Times;Serif"/>
          <w:b/>
          <w:i/>
          <w:caps w:val="false"/>
          <w:smallCaps w:val="false"/>
          <w:sz w:val="20"/>
        </w:rPr>
        <w:t>Form of Legend for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the Securities evidenced thereby, every Global Security authenticated and delivered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of a series are issuable in whole or in part in the form of one or more Global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then, notwithstanding Clause (i) of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the last sentence of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shall apply to any Security represented by a Global Security if such Security was never issued and sold by the Company and the Company delivers to the Trustee the Global Security together with a Company Order with regard to the reduction in the principal amount of Securities represented thereby, together with the written statement contemplated by the last sentence of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2.03</w:t>
        <w:tab/>
      </w:r>
      <w:r>
        <w:rPr>
          <w:rFonts w:ascii="Times New Roman;Times;Serif" w:hAnsi="Times New Roman;Times;Serif"/>
          <w:b/>
          <w:i/>
          <w:caps w:val="false"/>
          <w:smallCaps w:val="false"/>
          <w:sz w:val="20"/>
        </w:rPr>
        <w:t>Form of Trustee’s Certificate of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certificates of authentication shall be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herein and referred to in the within-mentioned Indenture.</w:t>
      </w:r>
    </w:p>
    <w:p>
      <w:pPr>
        <w:pStyle w:val="TextBody"/>
        <w:bidi w:val="0"/>
        <w:spacing w:before="0" w:after="0"/>
        <w:ind w:left="432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20"/>
              </w:rPr>
            </w:pPr>
            <w:r>
              <w:rPr>
                <w:sz w:val="20"/>
              </w:rPr>
              <w:t>TRUIST BANK,</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b/>
                <w:i/>
                <w:sz w:val="20"/>
              </w:rPr>
            </w:pPr>
            <w:r>
              <w:rPr>
                <w:b/>
                <w:i/>
                <w:sz w:val="20"/>
              </w:rPr>
              <w:t>As Trustee</w:t>
            </w:r>
          </w:p>
        </w:tc>
      </w:tr>
    </w:tbl>
    <w:p>
      <w:pPr>
        <w:pStyle w:val="TextBody"/>
        <w:bidi w:val="0"/>
        <w:spacing w:before="0" w:after="0"/>
        <w:ind w:left="432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320"/>
        <w:gridCol w:w="18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b/>
                <w:i/>
                <w:sz w:val="20"/>
              </w:rPr>
            </w:pPr>
            <w:r>
              <w:rPr>
                <w:b/>
                <w:i/>
                <w:sz w:val="20"/>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THE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3.01</w:t>
        <w:tab/>
      </w:r>
      <w:r>
        <w:rPr>
          <w:rFonts w:ascii="Times New Roman;Times;Serif" w:hAnsi="Times New Roman;Times;Serif"/>
          <w:b/>
          <w:i/>
          <w:caps w:val="false"/>
          <w:smallCaps w:val="false"/>
          <w:sz w:val="20"/>
        </w:rPr>
        <w:t>Amount Unlimited; Issuable in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 The Securities may be issued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Securities to be authenticated and delivered hereunder, there shall be established in or pursuant to a Board Resolution and set forth in, or determined in the manner provided in, an Officer’s Certificate, or established in one or more indentures supplemental hereto prior to the issuance of any Securities of a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title of the Securities of the series (which shall distinguish the Securities of the series from Securities of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and except for any Securities which,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are deemed never to have been authenticated and delivered hereunder); provided, however, that the authorized aggregate principal amount of such series may from time to time be increased above such amount by a Board Resolution to such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 price or prices of originally issued Securities, expressed as a percentage of the principal amount, and the original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Person to whom any interest on a Security of the series shall be payable, if other than the Person in whose name that Security (or one or more Predecessor Securities) is registered at the close of business on the Regular Record Date for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date or dates on which the Securities will be issued and on which principal of, and premium, if any, on, any Securities of the series is payable or the method of determination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rate or rates (which may be fixed or variable, or a combination thereof) at which any Securities of the series shall bear interest, if any, or the method of determination thereof, the date or dates from which any such interest shall accrue, or the method of determination thereof, the Interest Payment Dates on which any such interest shall be payable and the Regular Record Date for any such interest payable on any Interest Payment Date, or the method by which such date or dates shall be determined, the basis upon which interest shall be calculated if other than that of a 360-day year of twelve 30-day months, and the right, if any, to extend or defer interest payments and the duration of such extension or deferral;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place or places where, subject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the principal of and any premium and interest on any Securities of the series shall be payable, Securities of the series may be surrendered for registration or transfer, Securities of the series may be surrendered for exchange, and notices and demands to or upon the Company in respect of the Securities of the series and this Indenture may be 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period or periods, if any,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obligation, if any, and the option, if any, of the Company to redeem, purchase or repay any Securities of the series pursuant to any sinking fund, amortization or analogous provisions or upon the happening of a specified event or at the option of the Holder thereof and the period or periods within which, the price or prices at which and the terms and conditions upon which any Securities of the series shall be redeemed, purchased or repaid, in whole or in part, pursuant to such obligation or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a minimum denomination equal to $2,000 or an integral multiple of $1,000 in excess thereof, the denominations in which any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debt Securities will be issued in registered or bearer form or both and, if in bearer form, the related terms and conditions and any limitations on issuance of such bearer debt Securities (including exchange for registered debt Securities of the same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amount of principal of or any premium or interest on any Securities of the series may be determined with reference to an index including an index based on a currency or currencies other than in which the Securities of that series are payable or pursuant to a formula, the manner in which such amounts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if other than the currency of the United States of America, the currency, currencies or currency units in which the principal of or any premium or interest on any Securities of the series shall be denominated, payable, redeemable or purchasable and the manner of determining the equivalent thereof in the currency of the United States of America for any purpose, including for purposes of the definition of “Outstanding”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principal of or any premium or interest on any Securities of the series is to be payable, redeemable or purchasable, at the election of the Company or the Holder thereof, in one or more currencies or currency units other than that or those in which such Securities are stated to be payable, redeemable, or purchasable, the currency, currencies or currency units in which the principal of or any premium or interest on such Securities as to which such election is made shall be payable, redeemable or purchasable, the periods within which and the terms and conditions upon which such election is to be made and the amount so payable, redeemable or purchasable (or the manner in which such amount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if other than the entire principal amount thereof, the portion of the principal amount of any Securities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or provable in bankruptcy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or the method of determination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100" w:right="0" w:firstLine="72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100" w:right="0" w:firstLine="720"/>
        <w:jc w:val="both"/>
        <w:rPr>
          <w:caps w:val="false"/>
          <w:smallCaps w:val="false"/>
        </w:rPr>
      </w:pPr>
      <w:r>
        <w:rPr>
          <w:caps w:val="false"/>
          <w:smallCaps w:val="false"/>
        </w:rPr>
        <w:t> </w:t>
      </w:r>
    </w:p>
    <w:p>
      <w:pPr>
        <w:pStyle w:val="TextBody"/>
        <w:bidi w:val="0"/>
        <w:spacing w:before="0" w:after="0"/>
        <w:ind w:left="1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if applicable, that the Securities of the series, in whole or any specified part, shall be defeasible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or both such Sections or if other than as provided in </w:t>
      </w:r>
      <w:r>
        <w:rPr>
          <w:rFonts w:ascii="Times New Roman;Times;Serif" w:hAnsi="Times New Roman;Times;Serif"/>
          <w:b w:val="false"/>
          <w:i w:val="false"/>
          <w:caps w:val="false"/>
          <w:smallCaps w:val="false"/>
          <w:sz w:val="20"/>
          <w:u w:val="single"/>
        </w:rPr>
        <w:t>Sections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the terms and conditions upon which and the manner in which such series of Securities may be defeased or discharged, and, if other than by a Board Resolution, the manner in which any election by the Company to defease or discharge such Securities shall be evidenced;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information with respect to book-entry procedures, and any circumstances in addition to or in lieu of those set forth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the debt Security is issued as an Original Issue Discount Security, and if so, the yield to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any deletion from, addition to or change in the Events of Default which applies to any Securities of the series and any change in the right of the Trustee or the requisite Holders of such Securities to declare the principal amount thereof due and payable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any addition to or change in the covenants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which applies to Securities of the series or in any defined term used in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right, if any, of the Company to defer payments of interest by extending the interest payment periods and specify the duration of such extension, the Interest Payment Dates on which such interest shall be payable and whether and under what circumstances additional interest on amounts deferred shall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if other than the Trustee, the identity of any other trustee, the Security Registrar and any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exchanges, if any, on which the Securities may be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any other terms of the Securities of the series (which terms shall not be prohibited by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Securities of any one series shall be substantially identical except as to denomination and except as may otherwise be provided in or pursuant to the Board Resolution referred to above and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set forth, or determined in the manner provided, in the Officer’s Certificate referred to above or in any such indenture supplemental hereto. Accordingly, the terms of any Security of a series may differ from the terms of other Securities of the same series, if and to the extent provided pursuant to this Section. The matters referenced in any or all of Clauses (a) through (bb) above may be established and set forth or determined as aforesaid with respect to all or any specific Securities of a series (in each case to the extent permitted by the Trust Indenture Act). If any additional Securities of a series are not fungible with the Outstanding Securities of such series for Federal income tax purposes, such additional Securities will be issued with a different CUSIP number (or other applicable identifying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Board Resolution or Officer’s Certificate referred to above with respect to Securities of any series filed with the Trustee on or before the initial issuance of the Securities of such series shall be incorporated herein by reference with respect to Securities of such series and shall thereafter be deemed to be a part of this Indenture for all purposes relating to Securities of such series as fully as if such Board Resolution or Officer’s Certificate were set forth herein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3.02</w:t>
        <w:tab/>
      </w:r>
      <w:r>
        <w:rPr>
          <w:rFonts w:ascii="Times New Roman;Times;Serif" w:hAnsi="Times New Roman;Times;Serif"/>
          <w:b/>
          <w:i/>
          <w:caps w:val="false"/>
          <w:smallCaps w:val="false"/>
          <w:sz w:val="20"/>
        </w:rPr>
        <w:t>Denominations.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of each series shall be issuable only in registered form without coupons and only in such denominations as shall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In the absence of any such specified denomination with respect to the Securities of any series, the Securities of such series shall be issuable in a minimum denomination equal to $2,000 or an integral multiple of $1,000 in excess thereof.</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3.03</w:t>
        <w:tab/>
      </w:r>
      <w:r>
        <w:rPr>
          <w:rFonts w:ascii="Times New Roman;Times;Serif" w:hAnsi="Times New Roman;Times;Serif"/>
          <w:b/>
          <w:i/>
          <w:caps w:val="false"/>
          <w:smallCaps w:val="false"/>
          <w:sz w:val="20"/>
        </w:rPr>
        <w:t>Execution, Authentication, Delivery and Dating.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a Senior Officer or the Treasurer of the Company (or any other officer of the Company designated in writing by or pursuant to authority of the Board of Directors and delivered to the Trustee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of any of these officers on the Securities may be manual, facsimile or in other electronic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bearing the signatures of individuals who were at the time of execution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or indenture supplemental hereto as permitted by </w:t>
      </w:r>
      <w:r>
        <w:rPr>
          <w:rFonts w:ascii="Times New Roman;Times;Serif" w:hAnsi="Times New Roman;Times;Serif"/>
          <w:b w:val="false"/>
          <w:i w:val="false"/>
          <w:caps w:val="false"/>
          <w:smallCaps w:val="false"/>
          <w:sz w:val="20"/>
          <w:u w:val="single"/>
        </w:rPr>
        <w:t>Sections 2.01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3.01</w:t>
      </w:r>
      <w:r>
        <w:rPr>
          <w:rFonts w:ascii="Times New Roman;Times;Serif" w:hAnsi="Times New Roman;Times;Serif"/>
          <w:b w:val="false"/>
          <w:i w:val="false"/>
          <w:caps w:val="false"/>
          <w:smallCaps w:val="false"/>
          <w:sz w:val="20"/>
        </w:rPr>
        <w:t>, in authenticating such Securities, the Trustee shall be entitled to receive, in addition to the Opinion of Counsel required to be furnished to the Trustee pursuant to Section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Board Resolution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a Board Resolution, such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executed supplemental indenture,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Officer’s Certificate delivered in accordance with </w:t>
      </w:r>
      <w:r>
        <w:rPr>
          <w:rFonts w:ascii="Times New Roman;Times;Serif" w:hAnsi="Times New Roman;Times;Serif"/>
          <w:b w:val="false"/>
          <w:i w:val="false"/>
          <w:caps w:val="false"/>
          <w:smallCaps w:val="false"/>
          <w:sz w:val="20"/>
          <w:u w:val="single"/>
        </w:rPr>
        <w:t>Sections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which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the Trustee will be fully protected in relying upon;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Opinion of Counsel, which (subject to Section 6.01) the Trustee will be fully protected in relying upon, stating: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form and terms of such Securities have been established in accordance with Article III of this Indenture and in conformity with the other provisions of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such Securities, when authenticated and delivered by the Trustee and issued by the Company in the manner and subject to any conditions specified in such Opinion of Counsel will constitute valid and legally binding obligations of the Company, enforceable against the Company, in accordance with their respective terms, subject to bankruptcy, insolvency, fraudulent transfer, reorganization, moratorium and similar laws of general applicability relating to or affecting creditors’ rights and to general equity principles;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all applicable laws and requirements in respect of the execution and delivery of such Securities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form or terms have been so established, the Trustee shall not be required to authenticate such Securities if the issue of such Securities pursuant to this Indenture in accordance with the Company Order will, in the Trustee’s sole discretion, materially adversely affect the Trustee’s own rights, duties or immunities under the Securities and this Indenture or otherwise in a manner which is not reasonably acceptable to the Trustee. In addition, the Trustee shall not be required to authenticate any Securities if the Trustee, in its sole discretion, determines that such action may not lawfully be taken or if the Trustee, in its sole discretion, determines that such action would expose the Trustee to personal liability to existing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of the preceding paragraph, if all Securities of a series are not to be originally issued at one time, it shall not be necessary, unless the Trustee reasonably determines otherwise, for the Company to deliver the Board Resolution, Officer’s Certificate or indenture supplemental otherwise required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the Opinion of Counsel otherwise required pursuant to the fourth paragraph of this Section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any Security shall have been authenticated and delivered hereunder but never issued and sold by the Company, and the Company shall deliver such Security to the Trustee for cancellation as provided in </w:t>
      </w:r>
      <w:r>
        <w:rPr>
          <w:rFonts w:ascii="Times New Roman;Times;Serif" w:hAnsi="Times New Roman;Times;Serif"/>
          <w:b w:val="false"/>
          <w:i w:val="false"/>
          <w:caps w:val="false"/>
          <w:smallCaps w:val="false"/>
          <w:sz w:val="20"/>
          <w:u w:val="single"/>
        </w:rPr>
        <w:t>Section 3.09</w:t>
      </w:r>
      <w:r>
        <w:rPr>
          <w:rFonts w:ascii="Times New Roman;Times;Serif" w:hAnsi="Times New Roman;Times;Serif"/>
          <w:b w:val="false"/>
          <w:i w:val="false"/>
          <w:caps w:val="false"/>
          <w:smallCaps w:val="false"/>
          <w:sz w:val="20"/>
        </w:rPr>
        <w:t>, for all purposes of this Indenture such Security shall be deemed never to have been authenticated and delivered hereunder and shall never be entitled to the benefits of this Indenture.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3.04</w:t>
        <w:tab/>
      </w:r>
      <w:r>
        <w:rPr>
          <w:rFonts w:ascii="Times New Roman;Times;Serif" w:hAnsi="Times New Roman;Times;Serif"/>
          <w:b/>
          <w:i/>
          <w:caps w:val="false"/>
          <w:smallCaps w:val="false"/>
          <w:sz w:val="20"/>
        </w:rPr>
        <w:t>Temporary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or other designation location for transfer and exchange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3.05</w:t>
        <w:tab/>
      </w:r>
      <w:r>
        <w:rPr>
          <w:rFonts w:ascii="Times New Roman;Times;Serif" w:hAnsi="Times New Roman;Times;Serif"/>
          <w:b/>
          <w:i/>
          <w:caps w:val="false"/>
          <w:smallCaps w:val="false"/>
          <w:sz w:val="20"/>
        </w:rPr>
        <w:t>Registration; Registration of Transfer and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at the Corporate Trust Office or other designated office of the Trustee a register (the register maintained in such office being herein sometimes collectively, referred to as the “</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Securities and of transfers of Securities entitled to registration or transfer as provided herein. The Trustee is hereby appointed “Security Registrar” for the purpose of registering Securities and transfers of Securities as herein provided unless otherwise specified with respect to any particular series of Securities in accordance with Section 3.01. The Company may at any time replace such Security Registrar, change such office or agency or act as its own Security Registrar. The Company will give prompt written notice to the Trustee of any change of the Security Registrar or of the location of such office or agency. At all reasonable times, the Security Registrar shall be available for inspection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office or agency of the Company in a Place of Payment or other designation location for transfer and exchange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Securities of any series (except a Global Security)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Every Security presented or surrendered for registration of transfer or for exchange shall (if so required by the Company or the Trustee) be duly endorsed, or be accompanied by a written instrument of transfer in a form satisfactory to the Company and the Security Registrar duly executed, by the Holder thereof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Securities of any series (or of any series and specified tenor) are to be redeemed in part, neither the Company nor the Trustee shall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ending at the close of business on the day of such mailing, or (B) to register the transfer of or exchange any Security so selected for redemption in whole or in part, except the unredeemed portion of any Security being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that is a transferor of a Security shall also provide or cause to be provided to the Trustee all information necessary to allow the Trustee to comply with any applicable tax reporting obligations, including without limitation, any cost basis reporting obligations under Internal Revenue Code Section 6045. The Trustee may conclusively rely on any such information provided to it and shall have no responsibility to verify or ensure the accuracy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to this Indenture acknowledge that for certain payments made pursuant to this Indenture, the Paying Agent may be required to make a “reportable payment” or “withholdable payment” and in such cases the Paying Agent shall have the duty to act as a payor or withholding agent, respectively, that is responsible for any tax withholding and reporting required under Chapters 3, 4, 24 and 61 of the United States Internal Revenue Code of 1986, as amended (the “Code”). The Paying Agent shall have the sole right to make the determination as to which payments are “reportable payments” or “withholdable payments.” All parties to this Indenture shall provide an executed IRS Form W-9 or appropriate IRS Form W-8 (or, in each case, any successor form) to the Paying Agent prior to closing, and shall promptly update any such form to the extent such form becomes obsolete or inaccurate in any respect. The Paying Agent shall have the right to request from any party to this Indenture, or any other Person entitled to payment hereunder, any additional forms, documentation or other information as may be reasonably necessary for the Paying Agent to satisfy its reporting and withholding obligations under the Code. To the extent any such forms to be delivered under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are not provided prior to or by the time the related payment is required to be made or are determined by the Paying Agent to be incomplete and/or inaccurate in any respect, the Paying Agent shall be entitled to withhold on any such payments hereunder to the extent withholding is required under Chapters 3, 4, 24 or 61 of the Code, and shall have no obligation to gross up any such payment. Nothing in this Section 3.05 shall impose any duty on the Trustee or Paying Agent other than as may be required pursuant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(a), (b), (c), (d) and (e) below shall apply only to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other provision in this Indenture, and subject to such applicable provisions, if any,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no Global Security may be exchanged in whole or in part for Securities registered, and no transfer of a Global Security in whole or in part may be registered, in the name of any Person other than the Depositary for such Global Security or a nominee thereof unless (1) such Depositary has notified the Company that it is unwilling or unable to continue as Depositary for such Global Security or has ceased to be a clearing agency registered under the Exchange Act, and a successor Depositary is not appointed by the Company within 90 days after the Company’s receipt of such notice, (2) there shall have occurred and be continuing an Event of Default with respect to such Global Security and the Security Registrar has received a request from the Depositary to issue certificated securities in lieu of the Global Security, (3) the Company shall determine in its sole discretion that Securities of a series issued in global form shall no longer be represented by a Global Security, or (4) there shall exist such circumstances, if any, in addition to or in lieu of the foregoing as have been specified for this purpose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then in any such case, such Global Security may be exchanged by such Depositary for definitive Securities of the same series, of any authorized denomination and of a like aggregate principal amount and tenor, registered in the names of, and the transfer of such Global Security or portion thereof may be registered to, such Persons as such Depositary shall direct. If the Company designates a successor Depositary pursuant to Clause (1) above,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(a), (b), (c) and (d) of this Section shall continue to apply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Clause (b) above and to such applicable provisions, if any,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Every Security authenticated and delivered upon registration of transfer of, or in exchange for or in lieu of, a Global Security or any portion thereof, whether pursuant to this Section,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or otherwise, shall be authenticated and delivered in the form of, and shall be, a Global Security, unless such Security is registered in the name of a Person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Trustee nor any Security Registrar, Paying Agent or other agent of the Company or the Trustee shall have any responsibility or liability for any actions taken or not taken by the Depositary, for the records of any such Depositary, including records in respect of beneficial ownership interests in respect of any such Global Security, for any transactions between such Depositary and any members or participants in the Depositary or other participant in such Depositary or between or among any such Depositary, any such member or participant in the Depositary or other participant and/or any holder or owner of a beneficial interest in such Global Security or for any transfers of beneficial interests in any such Global Security. Notwithstanding the foregoing, nothing herein shall prevent the Company, the Trustee, or any Security Registrar, Paying Agent or other agent of the Company or the Trustee from giving effect to any written certification, proxy or other authorization furnished by the Depositary or its nominee, as the case may be, or impair, as between the Depositary, members or participants of the Depositary and any other Person on whose behalf a member or participant of the Depositary may act, the operation of customary practices of such Persons governing the exercise of the rights of a beneficial holder of any Global Security.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3.06</w:t>
        <w:tab/>
      </w:r>
      <w:r>
        <w:rPr>
          <w:rFonts w:ascii="Times New Roman;Times;Serif" w:hAnsi="Times New Roman;Times;Serif"/>
          <w:b/>
          <w:i/>
          <w:caps w:val="false"/>
          <w:smallCaps w:val="false"/>
          <w:sz w:val="20"/>
        </w:rPr>
        <w:t>Mutilated, Destroyed, Lost and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together with such security or indemnity as may be required by the Company or the Trustee to save each of them and hold any agent of either of them harmless, the Company shall execute and upon its request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mutilated, destroyed, lost or stolen Security, a new Security of the same series and of like tenor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the Company and the Trustee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3.07</w:t>
        <w:tab/>
      </w:r>
      <w:r>
        <w:rPr>
          <w:rFonts w:ascii="Times New Roman;Times;Serif" w:hAnsi="Times New Roman;Times;Serif"/>
          <w:b/>
          <w:i/>
          <w:caps w:val="false"/>
          <w:smallCaps w:val="false"/>
          <w:sz w:val="20"/>
        </w:rPr>
        <w:t>Payment of Interest; Interest Rights Preserved.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of any series which is payable, but is not punctually paid or duly provided for, on any Interest Payment Date (herein called “</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relevant Regular Record Date by virtue of having been such Holder, and such Defaulted Interest may be paid by the Company, at its election in each case, as provided in Clause (a) or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cause notice of the proposed payment of such Defaulted Interest and the Special Record Date therefor to be given to each Holder of Securities of such series in the manner set forth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foregoing provisions of this Section and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each Security delivered under this Indenture upon registration of transfer of or in exchange for or in lieu of any other Security shall carry the rights to interest accrued and unpaid, and to accrue, which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series of Securities, the Company shall, prior to Noon, New York City time, on each payment date for principal and premium, if any, and interest, if any, deposit with the Trustee money in immediately available funds sufficient to make cash payments due on the applicable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3.08</w:t>
        <w:tab/>
      </w:r>
      <w:r>
        <w:rPr>
          <w:rFonts w:ascii="Times New Roman;Times;Serif" w:hAnsi="Times New Roman;Times;Serif"/>
          <w:b/>
          <w:i/>
          <w:caps w:val="false"/>
          <w:smallCaps w:val="false"/>
          <w:sz w:val="20"/>
        </w:rPr>
        <w:t>Persons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Times;Serif" w:hAnsi="Times New Roman;Times;Serif"/>
          <w:b w:val="false"/>
          <w:i w:val="false"/>
          <w:caps w:val="false"/>
          <w:smallCaps w:val="false"/>
          <w:sz w:val="20"/>
          <w:u w:val="single"/>
        </w:rPr>
        <w:t>Sections 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3.07</w:t>
      </w:r>
      <w:r>
        <w:rPr>
          <w:rFonts w:ascii="Times New Roman;Times;Serif" w:hAnsi="Times New Roman;Times;Serif"/>
          <w:b w:val="false"/>
          <w:i w:val="false"/>
          <w:caps w:val="false"/>
          <w:smallCaps w:val="false"/>
          <w:sz w:val="20"/>
        </w:rPr>
        <w:t>) any interest on such Security and for all other purposes whatsoever, whether or not such Security be overdue, and neither the Company, the Trustee nor any agent of the Company or the Trustee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The Company, the Trustee and any agent of the Company or the Trustee may shall be entitled to deal with any depositary (including any Depositary), and any nominee thereof, that is the holder of any such Global Security for all purposes of this Indenture relating to such Global Security (including the payment of principal (and premium, if any) and interest, if any, and the giving of instructions or directions by or to the owner or holder of a beneficial ownership interest in such Global Security) as the sole holder of such Global Security and shall have no obligations to the beneficial owners thereof. 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3.09</w:t>
        <w:tab/>
      </w:r>
      <w:r>
        <w:rPr>
          <w:rFonts w:ascii="Times New Roman;Times;Serif" w:hAnsi="Times New Roman;Times;Serif"/>
          <w:b/>
          <w:i/>
          <w:caps w:val="false"/>
          <w:smallCaps w:val="false"/>
          <w:sz w:val="20"/>
        </w:rPr>
        <w:t>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registration of transfer or exchange or conversion or for credit against any sinking fund payment shall, if surrendered to any Person other than the Trustee, be delivered to the Trustee and, if not already cancelled,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shall be authenticated in lieu of or in exchange for any Securities cancelled as provided in this Section, except as expressly permitted by this Indenture. All cancelled Securities held by the Trustee shall be disposed of in accordance with its customary procedures.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3.10</w:t>
        <w:tab/>
      </w:r>
      <w:r>
        <w:rPr>
          <w:rFonts w:ascii="Times New Roman;Times;Serif" w:hAnsi="Times New Roman;Times;Serif"/>
          <w:b/>
          <w:i/>
          <w:caps w:val="false"/>
          <w:smallCaps w:val="false"/>
          <w:sz w:val="20"/>
        </w:rPr>
        <w:t>Computation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Securities of any series, interest on the Securities of each series shall be computed on the basis of a 360-day year of twelve 30-day months.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3.11</w:t>
        <w:tab/>
      </w:r>
      <w:r>
        <w:rPr>
          <w:rFonts w:ascii="Times New Roman;Times;Serif" w:hAnsi="Times New Roman;Times;Serif"/>
          <w:b/>
          <w:i/>
          <w:caps w:val="false"/>
          <w:smallCaps w:val="false"/>
          <w:sz w:val="20"/>
        </w:rPr>
        <w:t>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or “ISIN” numbers (in addition to the other identification numbers printed on the Securities), if then in use, and, if so, the Trustee shall use such “CUSIP” or “ISIN” numbers in notices of redemption as a convenience to Holders; provided, however, that any such notice may state that no representation is made as to the correctness of such “CUSIP” or “ISIN”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“ISIN” numbers. The Company will promptly notify the Trustee in writing of any change in the “CUSIP” or “ISIN” numbers.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3.12</w:t>
        <w:tab/>
      </w:r>
      <w:r>
        <w:rPr>
          <w:rFonts w:ascii="Times New Roman;Times;Serif" w:hAnsi="Times New Roman;Times;Serif"/>
          <w:b/>
          <w:i/>
          <w:caps w:val="false"/>
          <w:smallCaps w:val="false"/>
          <w:sz w:val="20"/>
        </w:rPr>
        <w:t>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indirect participants) other than to require delivery of such certificates and other documentation or evidence as are expressly required by this Indenture, and to do so if and when expressly required by the terms of, this Indenture, and to examine the same to determine substantial compliance as to form with the express requirements hereof. Neither the Trustee or the Company nor any agent referenced in this Indenture shall have any responsibility or liability for any actions taken or not taken by the Depositary.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SATISFACTION AND DISCHARGE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4.01</w:t>
        <w:tab/>
      </w:r>
      <w:r>
        <w:rPr>
          <w:rFonts w:ascii="Times New Roman;Times;Serif" w:hAnsi="Times New Roman;Times;Serif"/>
          <w:b/>
          <w:i/>
          <w:caps w:val="false"/>
          <w:smallCaps w:val="false"/>
          <w:sz w:val="20"/>
        </w:rPr>
        <w:t>Satisfaction and Discharge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Request, cease to be of further effect with respect to Securities of any series (except as to any surviving rights of registration of transfer or exchange of Securities herein expressly provided for), and the Trustee, at the expense of the Company, shall execute such instruments reasonably requested by the Company acknowledging satisfaction and discharge of this Indenture with respect to such Securities,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all such Securities theretofore authenticated and delivered (other than (i) such Securities which have been mutilated, destroyed, lost or stolen and which have been replaced or paid as provided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and (ii) such Securities for whose payment money has theretofore been (x) irrevocably deposited in trust or segregated and held in trust by the Company and thereafter repaid to the Company or discharged from such trust, as provided in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or (y) paid to any state or the District of Columbia pursuant to its unclaimed property or similar law) have been delivered to the Trustee cancelled or for cancellation;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such Securities not theretofore delivered to the Trustee as cancelled or for cancellation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irrevocably deposited with the Trustee, as trust funds in trust for the purpose, an amount of money in the currency or currency units in which such Securities are payable sufficient to pay and discharge the entire indebtedness on such Securities not theretofore delivered to the Trustee as cancelled or for cancellation, for principal and any premium and interest to the date of such deposit (in the case of such Securities which have become due and payable) or to the Stated Maturity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or otherwise made provision for the payment of, all other sums payable hereunder by the Company with respect to such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satisfaction and discharge of this Indenture with respect to Securities of any series, the obligations of the Company to the Trustee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the obligations of the Company to any Authenticating Agent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and the right of the Trustee to resign under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survive, and, if money shall have been deposited with the Trustee pursuant to subclause (2) of Clause (a) of this Section, the obligations of the Trustee under </w:t>
      </w:r>
      <w:r>
        <w:rPr>
          <w:rFonts w:ascii="Times New Roman;Times;Serif" w:hAnsi="Times New Roman;Times;Serif"/>
          <w:b w:val="false"/>
          <w:i w:val="false"/>
          <w:caps w:val="false"/>
          <w:smallCaps w:val="false"/>
          <w:sz w:val="20"/>
          <w:u w:val="single"/>
        </w:rPr>
        <w:t>Sections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and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4.02</w:t>
        <w:tab/>
      </w:r>
      <w:r>
        <w:rPr>
          <w:rFonts w:ascii="Times New Roman;Times;Serif" w:hAnsi="Times New Roman;Times;Serif"/>
          <w:b/>
          <w:i/>
          <w:caps w:val="false"/>
          <w:smallCaps w:val="false"/>
          <w:sz w:val="20"/>
        </w:rPr>
        <w:t>Application of Trust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all money or other consideration deposited with the Trustee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shall be held in trust (without liability for the payment of interest thereon or the investment thereof) and applied by it, in accordance with the provisions of the Securities and this Indenture, to the payment, either directly or through any Paying Agent (including the Company acting as its own Paying Agent), to the Persons entitled thereto, of the principal and any premium and interest for whose payment such money has been deposited with the Trustee. All money deposited with the Trustee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held by it or any Paying Agent) for the payment of such Securities subsequently converted into other property shall be returned to the Company upon Company Request. The Company may direct by a Company Order the investment of any money deposited with the Trustee as may be agreed in writing between the Company and the Trustee. Absent any instructions described in this Section, any money deposited with the Trustee shall remain un-invested.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REMEDIES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5.01</w:t>
        <w:tab/>
      </w:r>
      <w:r>
        <w:rPr>
          <w:rFonts w:ascii="Times New Roman;Times;Serif" w:hAnsi="Times New Roman;Times;Serif"/>
          <w:b/>
          <w:i/>
          <w:caps w:val="false"/>
          <w:smallCaps w:val="false"/>
          <w:sz w:val="20"/>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upon any Security of that series when it becomes due and payable, and continuance of such default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the principal of or any premium on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by the terms of a Security of that series and continuance of such default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in the performance, or breach, of any covenant of the Company in this Indenture (other than a default in the performance or the breach of a covenant which is specifically dealt with elsewhere in this Section or which has expressly been included in this Indenture solely for the benefit of series of Securities other than that series), and continuance of such default or breach for a period of 90 days after there has been given to the Company by the Trustee or to the Company and the Trustee by the Holders of at least 25% in aggregate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entry by a court having jurisdiction in the premises of (1) a decree or order for relief in respect of the Company in an involuntary case or proceeding under any applicable Federal or State bankruptcy, insolvency, reorganization or other similar law or (2)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arrangement, adjustment or composition of or in respect of the Company under any applicable Federal or State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other Event of Default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Securities of that series.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5.02</w:t>
        <w:tab/>
      </w:r>
      <w:r>
        <w:rPr>
          <w:rFonts w:ascii="Times New Roman;Times;Serif" w:hAnsi="Times New Roman;Times;Serif"/>
          <w:b/>
          <w:i/>
          <w:caps w:val="false"/>
          <w:smallCaps w:val="false"/>
          <w:sz w:val="20"/>
        </w:rPr>
        <w:t>Acceleration of Maturity; Rescission and Annulment.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(other than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5.01(f))</w:t>
      </w:r>
      <w:r>
        <w:rPr>
          <w:rFonts w:ascii="Times New Roman;Times;Serif" w:hAnsi="Times New Roman;Times;Serif"/>
          <w:b w:val="false"/>
          <w:i w:val="false"/>
          <w:caps w:val="false"/>
          <w:smallCaps w:val="false"/>
          <w:sz w:val="20"/>
        </w:rPr>
        <w:t xml:space="preserve"> with respect to Securities of any series at the time Outstanding occurs and is continuing, then in every such case the Trustee or the Holders of not less than 25% in aggregate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5.01(f)</w:t>
      </w:r>
      <w:r>
        <w:rPr>
          <w:rFonts w:ascii="Times New Roman;Times;Serif" w:hAnsi="Times New Roman;Times;Serif"/>
          <w:b w:val="false"/>
          <w:i w:val="false"/>
          <w:caps w:val="false"/>
          <w:smallCaps w:val="false"/>
          <w:sz w:val="20"/>
        </w:rPr>
        <w:t xml:space="preserve">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Company and the Trustee, may rescind and annul such declaration and its consequences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paid or deposited with the Trustee a sum sufficient to pay all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overdue interest on all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of (and premium, if any, on) any Securities of that series which have become due otherwise than by such declaration of acceleration and any interest thereon at the rate or rates prescribed therefor in such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extent that payment of such interest is lawful, interest upon overdue interest at the rate or rates prescribed therefor in such Securities,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sums paid or advanced by the Trustee hereunder and the reasonable compensation, expenses, disbursements and advances of the Trustee, its agents and counsel;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5.03</w:t>
        <w:tab/>
      </w:r>
      <w:r>
        <w:rPr>
          <w:rFonts w:ascii="Times New Roman;Times;Serif" w:hAnsi="Times New Roman;Times;Serif"/>
          <w:b/>
          <w:i/>
          <w:caps w:val="false"/>
          <w:smallCaps w:val="false"/>
          <w:sz w:val="20"/>
        </w:rPr>
        <w:t>Collection of Indebtedness and Suits for Enforcement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the principal of (or premium, if any, on) any Security at the Maturity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5.04</w:t>
        <w:tab/>
      </w:r>
      <w:r>
        <w:rPr>
          <w:rFonts w:ascii="Times New Roman;Times;Serif" w:hAnsi="Times New Roman;Times;Serif"/>
          <w:b/>
          <w:i/>
          <w:caps w:val="false"/>
          <w:smallCaps w:val="false"/>
          <w:sz w:val="20"/>
        </w:rPr>
        <w:t>Trustee May File Proofs of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judicial proceeding relative to the Company (or any other obligor upon the Securities), any of their property or any of their creditors, the Trustee (irrespective of whether the principal of the Securities shall then be due and payable as therein expressed or by declaration or otherwise and irrespective of whether the Trustee shall have made any demand for overdue principal or interest) shall be entitled and empowered, by intervention in such proceeding or otherwise, to file and prove a claim for the whole amount of principal (and premium, if any) and interest owing and unpaid in respect to the Securities and to file such other papers or documents as may be necessary or advisable and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5.05</w:t>
        <w:tab/>
      </w:r>
      <w:r>
        <w:rPr>
          <w:rFonts w:ascii="Times New Roman;Times;Serif" w:hAnsi="Times New Roman;Times;Serif"/>
          <w:b/>
          <w:i/>
          <w:caps w:val="false"/>
          <w:smallCaps w:val="false"/>
          <w:sz w:val="20"/>
        </w:rPr>
        <w:t>Trustee May Enforce Claims Without Possession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shall after provision for the payment of the reasonable compensation, expenses, disbursements and advances of the Trustee, its agents and counsel and any other amounts due to the Trustee under Section 6.07, be for the ratable benefit of the Holders of the Securities in respect of which such judgment has been recovered.</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5.06</w:t>
        <w:tab/>
      </w:r>
      <w:r>
        <w:rPr>
          <w:rFonts w:ascii="Times New Roman;Times;Serif" w:hAnsi="Times New Roman;Times;Serif"/>
          <w:b/>
          <w:i/>
          <w:caps w:val="false"/>
          <w:smallCaps w:val="false"/>
          <w:sz w:val="20"/>
        </w:rPr>
        <w:t>Application of Money Collected.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or property collected or to be applied by the Trustee with respect to a series of Securities pursuant to this Article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payment of all amounts due to the Trustee, in each of its capacities under this Indenture,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any premium and interest on such series of Securities in respect of which or for the benefit of which such money has been collected, ratably, without preference or priority of any kind, according to the amounts due and payable on such Securities for principal and any premium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balance, if any, to the Company, its successors or assigns, or to whomsoever may be lawfully entitled to receive such remainder or as a court of competent jurisdiction shall direct.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5.07</w:t>
        <w:tab/>
      </w:r>
      <w:r>
        <w:rPr>
          <w:rFonts w:ascii="Times New Roman;Times;Serif" w:hAnsi="Times New Roman;Times;Serif"/>
          <w:b/>
          <w:i/>
          <w:caps w:val="false"/>
          <w:smallCaps w:val="false"/>
          <w:sz w:val="20"/>
        </w:rPr>
        <w:t>Limitation on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25% in aggregate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and if requested, provided to the Trustee security or indemnity, satisfactory to the Trustee in its sole discretion,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and, if requested, provision of security or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aggregate principal amount of the Outstanding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of such Holders shall have any right in any manner whatever by virtue of, or by availing itself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further understood that the Trustee does not have an affirmative duty to ascertain whether or not any action the Holders direct it to take is unduly prejudicial to other Holders).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5.08</w:t>
        <w:tab/>
      </w:r>
      <w:r>
        <w:rPr>
          <w:rFonts w:ascii="Times New Roman;Times;Serif" w:hAnsi="Times New Roman;Times;Serif"/>
          <w:b/>
          <w:i/>
          <w:caps w:val="false"/>
          <w:smallCaps w:val="false"/>
          <w:sz w:val="20"/>
        </w:rPr>
        <w:t>Unconditional Right of Holders to Receive Principal Premium and Interest and to Convert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in this Indenture, the Holder of any Security shall have the right, which is absolute and unconditional to receive payment of the principal of and any premium and (subject to </w:t>
      </w:r>
      <w:r>
        <w:rPr>
          <w:rFonts w:ascii="Times New Roman;Times;Serif" w:hAnsi="Times New Roman;Times;Serif"/>
          <w:b w:val="false"/>
          <w:i w:val="false"/>
          <w:caps w:val="false"/>
          <w:smallCaps w:val="false"/>
          <w:sz w:val="20"/>
          <w:u w:val="single"/>
        </w:rPr>
        <w:t>Sections 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3.07)</w:t>
      </w:r>
      <w:r>
        <w:rPr>
          <w:rFonts w:ascii="Times New Roman;Times;Serif" w:hAnsi="Times New Roman;Times;Serif"/>
          <w:b w:val="false"/>
          <w:i w:val="false"/>
          <w:caps w:val="false"/>
          <w:smallCaps w:val="false"/>
          <w:sz w:val="20"/>
        </w:rPr>
        <w:t xml:space="preserve"> interest on such Security on the respective Stated Maturities expressed in such Security (or, in the case of redemption, on the Redemption Date or,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5.09</w:t>
        <w:tab/>
      </w:r>
      <w:r>
        <w:rPr>
          <w:rFonts w:ascii="Times New Roman;Times;Serif" w:hAnsi="Times New Roman;Times;Serif"/>
          <w:b/>
          <w:i/>
          <w:caps w:val="false"/>
          <w:smallCaps w:val="false"/>
          <w:sz w:val="20"/>
        </w:rPr>
        <w:t>Restoration of 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5.10</w:t>
        <w:tab/>
      </w:r>
      <w:r>
        <w:rPr>
          <w:rFonts w:ascii="Times New Roman;Times;Serif" w:hAnsi="Times New Roman;Times;Serif"/>
          <w:b/>
          <w:i/>
          <w:caps w:val="false"/>
          <w:smallCaps w:val="false"/>
          <w:sz w:val="20"/>
        </w:rPr>
        <w:t>Rights and Remedies Cumulative.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with respect to the replacement or payment of mutilated, destroyed, lost or stolen Securities in the last paragraph of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5.11</w:t>
        <w:tab/>
      </w:r>
      <w:r>
        <w:rPr>
          <w:rFonts w:ascii="Times New Roman;Times;Serif" w:hAnsi="Times New Roman;Times;Serif"/>
          <w:b/>
          <w:i/>
          <w:caps w:val="false"/>
          <w:smallCaps w:val="false"/>
          <w:sz w:val="20"/>
        </w:rPr>
        <w:t>Delay or Omission Not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Indenture or by law to the Trustee or to the Holders may be exercised from time to time, and as often as may be deemed expedient, by the Trustee or by the Holders, as the case may be.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5.12</w:t>
        <w:tab/>
      </w:r>
      <w:r>
        <w:rPr>
          <w:rFonts w:ascii="Times New Roman;Times;Serif" w:hAnsi="Times New Roman;Times;Serif"/>
          <w:b/>
          <w:i/>
          <w:caps w:val="false"/>
          <w:smallCaps w:val="false"/>
          <w:sz w:val="20"/>
        </w:rPr>
        <w:t>Control by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 or with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or with the Securities of such series;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determine that the proceeding so directed would involve the Trustee in personal liability or would otherwise be contrary to applicable law.</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5.13</w:t>
        <w:tab/>
      </w:r>
      <w:r>
        <w:rPr>
          <w:rFonts w:ascii="Times New Roman;Times;Serif" w:hAnsi="Times New Roman;Times;Serif"/>
          <w:b/>
          <w:i/>
          <w:caps w:val="false"/>
          <w:smallCaps w:val="false"/>
          <w:sz w:val="20"/>
        </w:rPr>
        <w:t>Waiver of Past Defaults.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Securities of any series may on behalf of the Holders of all the Securities of such series waive any past default or Event of Default hereunder with respect to such series and its consequences, except a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payment of the principal of or any premium or interest on any Security of such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respect of a covenant or provision hereof which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cannot be modified or amended without the consent of the Holder of each Outstanding Security of such series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5.14</w:t>
        <w:tab/>
      </w:r>
      <w:r>
        <w:rPr>
          <w:rFonts w:ascii="Times New Roman;Times;Serif" w:hAnsi="Times New Roman;Times;Serif"/>
          <w:b/>
          <w:i/>
          <w:caps w:val="false"/>
          <w:smallCaps w:val="false"/>
          <w:sz w:val="20"/>
        </w:rPr>
        <w:t>Undertaking for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5.15</w:t>
        <w:tab/>
      </w:r>
      <w:r>
        <w:rPr>
          <w:rFonts w:ascii="Times New Roman;Times;Serif" w:hAnsi="Times New Roman;Times;Serif"/>
          <w:b/>
          <w:i/>
          <w:caps w:val="false"/>
          <w:smallCaps w:val="false"/>
          <w:sz w:val="20"/>
        </w:rPr>
        <w:t>Waiver of Usury, Stay or Extension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THE TRUSTEE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6.01</w:t>
        <w:tab/>
      </w:r>
      <w:r>
        <w:rPr>
          <w:rFonts w:ascii="Times New Roman;Times;Serif" w:hAnsi="Times New Roman;Times;Serif"/>
          <w:b/>
          <w:i/>
          <w:caps w:val="false"/>
          <w:smallCaps w:val="false"/>
          <w:sz w:val="20"/>
        </w:rPr>
        <w:t>Certain Duties and Responsibilities.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during the occurrence and continuance of an Event of Default with respect to any series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 Event of Default with respect to any series of Securities has occurred and is continuing, the Trustee shall exercise with respect to the Securities of such series such of the rights and powers vested in it by this Indenture, and use the same degree of care and skill in their exercise, as a prudent person would exercise under the circumstances in the conduct of its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reasonably satisfactory to the Trustee against any loss, liability or expense that might be incurred by the Trustee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Subsection shall not be construed to limit the effect of Subsection (a) of this Section;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shall be proved that the Trustee was grossly negligent in ascertaining the pertinent facts;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a majority in aggregate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provision of this Indenture shall require the Trustee to expend or risk its own funds or otherwise incur any financial liability in the performance of any of its duties hereunder or to take, or omit to take, any action under this Indenture, to take any action at the request or direction of Holders, or in the exercise of any of its rights and powers;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shall not be liable in respect of any payment (as to the correctness of amount, entitlement to receive or any other matters related to payment) or notice effected by the Company or any Paying Agent or any records maintained by any Securities Registrar with respect to any series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had actual knowledge of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absence of written investment direction from the Company, all cash received by the Trustee shall be placed in a non- 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under no circumstances shall the Trustee be liable in its individual capacity for the obligations evidenced by any Securities of any series;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in the event that the Trustee is also acting as Securities Registrar, Paying Agent, Authenticating Agent or any other agent hereunder, the rights and protections afforded to the Trustee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also be afforded to such Securities Registrar, Paying Agent, Authenticating Agent or other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35</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6.02</w:t>
        <w:tab/>
      </w:r>
      <w:r>
        <w:rPr>
          <w:rFonts w:ascii="Times New Roman;Times;Serif" w:hAnsi="Times New Roman;Times;Serif"/>
          <w:b/>
          <w:i/>
          <w:caps w:val="false"/>
          <w:smallCaps w:val="false"/>
          <w:sz w:val="20"/>
        </w:rPr>
        <w:t>Notice of Defaults.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by a Responsible Officer of the Trustee of written notice of any default with respect to the Securities of any series, the Trustee shall transmit, in the manner and to the extent provided in Section 313(c) of the Trust Indenture Act, notice of all such uncured or unwaived defaults; provided, however, that, except in the case of a default in the payment of the principal of (or premium, if any) or interest on Securities of any series or in the payment of any sinking or purchase fund installment with respect to such Securities, the Trustee shall be protected in withholding such notice if and so long as the Trustee in good faith determines that the withholding of such notice is in the interests of the Holders of Securities of such series; and provided, further, however, that in the case of any default of the character specified in Section 5.01(d) with respect to the Securities of such series, no such notice to Holders of Securities shall be given until at least 90 days after the occurrence thereof. For the purpose of this Section, the term “default” means any event which is, or after notice or lapse of time or both would become, an Event of Default.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6.03</w:t>
        <w:tab/>
      </w:r>
      <w:r>
        <w:rPr>
          <w:rFonts w:ascii="Times New Roman;Times;Serif" w:hAnsi="Times New Roman;Times;Serif"/>
          <w:b/>
          <w:i/>
          <w:caps w:val="false"/>
          <w:smallCaps w:val="false"/>
          <w:sz w:val="20"/>
        </w:rPr>
        <w:t>Certain Rights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and need not investigate any fact or matter started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Company Request or Company Order, and any resolution of the Board of Directors shall be sufficiently evidenced by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an Opinion of Counsel, or both;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in its sole discretion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approval, appraisal, consent, order, bond, debenture, note, other evidence of indebtedness or other paper or document, but the Trustee, in its discretion, may, without obligation to do so, make such further inquiry or investigation into such facts or matters as it may see fit, and, if the Trustee shall choose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of the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liable for any action taken, suffered, or omitted to be taken by it in good faith and reasonably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special, indirect, punitive, incidental,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provision herein shall be deemed to impose any duty or obligation on the Trustee to take or omit to take any action, or suffer any action to be taken or omitted, in the performance of their respective duties or obligations under this Indenture, or to exercise any right or power thereunder, to the extent that taking or omitting to take such action or suffering such action to be taken or omitted would violate applicable law binding upon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pandemics, epidemics, recognized public emergencies, quarantine restrictions, nuclear or natural catastrophes or acts of God, and interruptions, loss or malfunctions of utilities, communications or computer (software and hardware) services, and hacking, cyber attacks, or other use or infiltration of the Trustee’s technological infrastructure exceeding authorized access (it being understood that the Trustee shall use reasonable efforts which are consistent with accepted practices in the banking industry to avoid and mitigate the effects of such occurrences and to resume performance as soon as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deemed to have notice or knowledge of any default or Event of Default unless written notice of any event which is in fact such a default shall have been received by a Responsible Officer of the Trustee at the Corporate Trust Office of the Trustee, and such notice references the applicable series of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may request that the Company deliver a certificate setting forth the names of individuals and/or titles of officers authorized at such time to take specified actions pursuant to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permissive right of the Trustee to take the actions permitted by this Indenture shall not be construed as obligation or duty to do so.</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6.04</w:t>
        <w:tab/>
      </w:r>
      <w:r>
        <w:rPr>
          <w:rFonts w:ascii="Times New Roman;Times;Serif" w:hAnsi="Times New Roman;Times;Serif"/>
          <w:b/>
          <w:i/>
          <w:caps w:val="false"/>
          <w:smallCaps w:val="false"/>
          <w:sz w:val="20"/>
        </w:rPr>
        <w:t>Not Responsible for Recitals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Company and neither the Trustee nor any Authenticating Agent assumes any responsibility for their correctness. Neither the Trustee nor any Authenticating Agent makes any representations as to the validity or sufficiency of this Indenture or of the Securities. Neither the Trustee nor any Authenticating Agent shall be accountable for the use or application by the Company of Securities or the proceeds thereof.</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37</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6.05</w:t>
        <w:tab/>
      </w:r>
      <w:r>
        <w:rPr>
          <w:rFonts w:ascii="Times New Roman;Times;Serif" w:hAnsi="Times New Roman;Times;Serif"/>
          <w:b/>
          <w:i/>
          <w:caps w:val="false"/>
          <w:smallCaps w:val="false"/>
          <w:sz w:val="20"/>
        </w:rPr>
        <w:t>May Hold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Times;Serif" w:hAnsi="Times New Roman;Times;Serif"/>
          <w:b w:val="false"/>
          <w:i w:val="false"/>
          <w:caps w:val="false"/>
          <w:smallCaps w:val="false"/>
          <w:sz w:val="20"/>
          <w:u w:val="single"/>
        </w:rPr>
        <w:t>Sections 6.08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may otherwise deal with the Company with the same rights it would have if it were not Trustee, Authenticating Agent, Paying Agent, Security Registrar or such other agent.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6.06</w:t>
        <w:tab/>
      </w:r>
      <w:r>
        <w:rPr>
          <w:rFonts w:ascii="Times New Roman;Times;Serif" w:hAnsi="Times New Roman;Times;Serif"/>
          <w:b/>
          <w:i/>
          <w:caps w:val="false"/>
          <w:smallCaps w:val="false"/>
          <w:sz w:val="20"/>
        </w:rPr>
        <w:t>Money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6.07</w:t>
        <w:tab/>
      </w:r>
      <w:r>
        <w:rPr>
          <w:rFonts w:ascii="Times New Roman;Times;Serif" w:hAnsi="Times New Roman;Times;Serif"/>
          <w:b/>
          <w:i/>
          <w:caps w:val="false"/>
          <w:smallCaps w:val="false"/>
          <w:sz w:val="20"/>
        </w:rPr>
        <w:t>Compensation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in any capacity under this Indenture, from time to time, such compensation as shall be agreed in writing between the Company and the Trustee for all services rendered by the Trustee hereunder (which compensation shall not be limited by any provision of law in regard to the compensation of a trustee of an express trust);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gross negligence or willful misconduct as determined by a final non-appealable decision of a court of competent jurisdiction;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and any predecessor Trustee and its agents for, and to hold them harmless against, any and all loss, damage, claim including taxes (other than taxes based upon, measured by or determined by the income of the Trustee), liability, claim, action, suit, cost or expense of any kind and nature whatsoever incurred without gross negligence or willful misconduct on their part as determined by a final non- appealable order of a court of competent jurisdiction, arising out of or in connection with the acceptance or administration of the trust or trusts hereunder, including the reasonable costs and expenses (including, but not limited to, reasonable attorney’s fees and expenses, court costs and expenses) of enforcing any of the provisions of this Indenture and defending themselves against or investigating any claim or liability in connection with the exercise or performance of any of its powers or duties hereunder, under the Securities (whether asserted by any Holder, the Company, or otherwise). The obligations of the Company under this Section to compensate and indemnify the Trustee and each predecessor trustee and to pay or reimburse the Trustee for expenses, disbursements and advances shall constitute additional indebtedness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any rights available to the Trustee under applicable law, when the Trustee incurs expenses or renders services in connection with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the expenses (including the reasonable charges and expenses of its counsel) and the compensation for such services are intended to constitute expenses of administration under any applicable Federal or State bankruptcy, insolvency, reorganization or other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institute any suit, or to undertake any proceeding under this Indenture, or to enter any appearance or in any way defend in any suit in which it may be made defendant, or to take any steps in the execution of the trusts hereby created or in the enforcement of any rights and powers hereunder, until it shall be indemnified to its satisfaction against any and all costs and expenses, outlays and counsel fees and other anticipated disbursements, and against all liability except to the extent determined by a court of competent jurisdiction to have been caused solely by its own gross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survive the satisfaction and discharge of this Indenture and the defeasance of the Securities or the earlier resignation or removal of the Trustee.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6.08</w:t>
        <w:tab/>
      </w:r>
      <w:r>
        <w:rPr>
          <w:rFonts w:ascii="Times New Roman;Times;Serif" w:hAnsi="Times New Roman;Times;Serif"/>
          <w:b/>
          <w:i/>
          <w:caps w:val="false"/>
          <w:smallCaps w:val="false"/>
          <w:sz w:val="20"/>
        </w:rPr>
        <w:t>Conflicting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6.09</w:t>
        <w:tab/>
      </w:r>
      <w:r>
        <w:rPr>
          <w:rFonts w:ascii="Times New Roman;Times;Serif" w:hAnsi="Times New Roman;Times;Serif"/>
          <w:b/>
          <w:i/>
          <w:caps w:val="false"/>
          <w:smallCaps w:val="false"/>
          <w:sz w:val="20"/>
        </w:rPr>
        <w:t>Corporate Trustee Required, 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$150,000.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6.10</w:t>
        <w:tab/>
      </w:r>
      <w:r>
        <w:rPr>
          <w:rFonts w:ascii="Times New Roman;Times;Serif" w:hAnsi="Times New Roman;Times;Serif"/>
          <w:b/>
          <w:i/>
          <w:caps w:val="false"/>
          <w:smallCaps w:val="false"/>
          <w:sz w:val="20"/>
        </w:rPr>
        <w:t>Resignation and Removal, Appointment of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resignation or removal of the Trustee and no appointment of a successor Trustee pursuant to this Article shall become effective until the acceptance of the appointment by the successor Trustee in accordance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resign at any time with respect to the Securities of one or more series by giving written notice thereof to the Company. If the instrument of acceptance by a successor Trustee required by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be removed at any time with respect to the Securities of any series by Act of the Holders of a majority in aggregate principal amount of the Outstanding Securities of such series, by written notice delivered to the Trustee and to the Company. If an instrument of acceptance by a successor Trustee shall not have been delivered to the Trustee within 30 days after giving of such notice of removal, the removed Trustee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shall fail to comply with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after written request therefor by the Company or by any Holder who has been a bona fide Holder of a Security for at least six months,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Trustee shall cease to be eligible under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and shall fail to resign after written request therefor by the Company or by any such Holder,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any such case, (1) the Company by a Board Resolution may remove the Trustee with respect to all Securities of which such Trustee acts as trustee, or (2) subject to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Holders of 10% in aggregate principal amount of Securities of any series who have been bona fide Holders of such Securities for at least six months may, on behalf of themselves and all others similarly situated, petition any court of competent jurisdiction for the removal of the Trustee with respect to all Securities of which such Trustee acts as trustee and the appointment of a successor Trustee or Trustees.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Holders of 10% in aggregate principal amount of Securities of any series who have been bona fide Holders of such Securities of such series for at least six months or the Trustee may, on behalf of themselves and all others similarly situated, petition any court of competent jurisdiction for the appointment of a successor Trustee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Each notice shall include the name of the successor Trustee with respect to the Securities of such series and the address of its Corporate Trust Office.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6.11</w:t>
        <w:tab/>
      </w:r>
      <w:r>
        <w:rPr>
          <w:rFonts w:ascii="Times New Roman;Times;Serif" w:hAnsi="Times New Roman;Times;Serif"/>
          <w:b/>
          <w:i/>
          <w:caps w:val="false"/>
          <w:smallCaps w:val="false"/>
          <w:sz w:val="20"/>
        </w:rPr>
        <w:t>Acceptance of Appointment by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reimbursement of its expenses (including reasonable fees and expenses of counsel and agents), if any, to which such retiring Trustee is otherwise legally entitled, execute and deliver an instrument transferring to such successor Trustee all the rights, powers and trusts of the retiring Trustee and shall duly assign, transfer and deliver to such successor Trustee at the expense of the Company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6.12</w:t>
        <w:tab/>
      </w:r>
      <w:r>
        <w:rPr>
          <w:rFonts w:ascii="Times New Roman;Times;Serif" w:hAnsi="Times New Roman;Times;Serif"/>
          <w:b/>
          <w:i/>
          <w:caps w:val="false"/>
          <w:smallCaps w:val="false"/>
          <w:sz w:val="20"/>
        </w:rPr>
        <w:t>Merger, Conversion, Consolidation or Succession to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entity into which the Trustee may be merged or converted or with which it may be consolidated, or any corporation or entity resulting from any merger, conversion or consolidation to which the Trustee shall be a party, or any corporation or entity succeeding to all or substantially all of the corporate trust business of the Trustee, shall be the successor of the Trustee hereunder, provided such corporation or entity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as is anywhere in the Securities or in this Indenture provided that the certificate of the Trustee shall have.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41</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6.13</w:t>
        <w:tab/>
      </w:r>
      <w:r>
        <w:rPr>
          <w:rFonts w:ascii="Times New Roman;Times;Serif" w:hAnsi="Times New Roman;Times;Serif"/>
          <w:b/>
          <w:i/>
          <w:caps w:val="false"/>
          <w:smallCaps w:val="false"/>
          <w:sz w:val="20"/>
        </w:rPr>
        <w:t>Preferential Collection of Claims Against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6.14</w:t>
        <w:tab/>
      </w:r>
      <w:r>
        <w:rPr>
          <w:rFonts w:ascii="Times New Roman;Times;Serif" w:hAnsi="Times New Roman;Times;Serif"/>
          <w:b/>
          <w:i/>
          <w:caps w:val="false"/>
          <w:smallCaps w:val="false"/>
          <w:sz w:val="20"/>
        </w:rPr>
        <w:t>Appointment of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appoint an Authenticating Agent or Agents with respect to one or more series of Securities which shall be authorized to act on behalf of and subject to the direction of the Trustee to authenticate and deliver Securities of such series issued upon original issue and upon exchange, registration of transfer or partial redemption thereof or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 entity organized and doing business under the laws of the United States of America, any State thereof or the District of Columbia, authorized under such laws to act as Authenticating Agent, having a combined capital and surplus of not less than $150,000.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entity into which an Authenticating Agent may be merged or converted or with which it may be consolidated, or any corporation or entity resulting from any merger, conversion or consolidation to which such Authenticating Agent shall be a party, or any corporation or entity succeeding to all or substantially all the corporate agency or corporate trust business of an Authenticating Agent, shall be the successor of the Authenticating Agent hereunder, provided such corporation or entity shall be otherwise eligible under this Section, without the execution or filing of any paper or any further act on the part of the Trustee or the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each Authenticating Agent from time to time reasonable compensation for its services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432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 xml:space="preserve">Truist Bank, as Trustee </w:t>
            </w:r>
          </w:p>
        </w:tc>
      </w:tr>
    </w:tbl>
    <w:p>
      <w:pPr>
        <w:pStyle w:val="TextBody"/>
        <w:bidi w:val="0"/>
        <w:spacing w:before="0" w:after="0"/>
        <w:ind w:left="0" w:right="0" w:hanging="0"/>
        <w:jc w:val="both"/>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75"/>
        <w:gridCol w:w="320"/>
        <w:gridCol w:w="1790"/>
        <w:gridCol w:w="33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both"/>
              <w:rPr>
                <w:sz w:val="20"/>
              </w:rPr>
            </w:pPr>
            <w:r>
              <w:rPr>
                <w:sz w:val="20"/>
              </w:rPr>
              <w:t xml:space="preserve">, as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Authenticating Agent</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c>
          <w:tcPr>
            <w:tcW w:w="3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HOLDERS’ LISTS AND REPORTS BY TRUSTEE AND COMPANY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7.01</w:t>
        <w:tab/>
      </w:r>
      <w:r>
        <w:rPr>
          <w:rFonts w:ascii="Times New Roman;Times;Serif" w:hAnsi="Times New Roman;Times;Serif"/>
          <w:b/>
          <w:i/>
          <w:caps w:val="false"/>
          <w:smallCaps w:val="false"/>
          <w:sz w:val="20"/>
        </w:rPr>
        <w:t>Company to Furnish Trustee Names and Addresses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semi-annually, not more than 15 days after each Regular Record Date, a list for each series of Securities, in such form as the Trustee may reasonably require, of the names and addresses of the Holders of Securities of such series as of such Regular Record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the Securities of a series, no such list need be furnished with respect to such series of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7.02</w:t>
        <w:tab/>
      </w:r>
      <w:r>
        <w:rPr>
          <w:rFonts w:ascii="Times New Roman;Times;Serif" w:hAnsi="Times New Roman;Times;Serif"/>
          <w:b/>
          <w:i/>
          <w:caps w:val="false"/>
          <w:smallCaps w:val="false"/>
          <w:sz w:val="20"/>
        </w:rPr>
        <w:t>Preservation of Information; Communications to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compliance with its obligations pursuant to Section 312 of the Trust Indenture Act, the Trustee (i) shall preserve, in as current a form as is reasonably practicable, the names and addresses of Holders contained in the most recent list furnished to the Trustee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the names and addresses of Holders received by the Trustee in its capacity as Security Registrar and (ii) may destroy any list furnished to it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to communicate with other Holders with respect to their rights under this Indenture or the Securities, and the corresponding rights and privileges of the Trustee shall be as provided by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Securities, by receiving and holding the same, agrees with the Company and the Trustee that none of the Company, the Trustee nor any agent of any of them shall be held accountable by reason of any disclosure of information as to names and addresses of Holders made pursuant to the Trust Indenture Act.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44</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7.03</w:t>
        <w:tab/>
      </w:r>
      <w:r>
        <w:rPr>
          <w:rFonts w:ascii="Times New Roman;Times;Serif" w:hAnsi="Times New Roman;Times;Serif"/>
          <w:b/>
          <w:i/>
          <w:caps w:val="false"/>
          <w:smallCaps w:val="false"/>
          <w:sz w:val="20"/>
        </w:rPr>
        <w:t>Reports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such reports, if any, concerning the Trustee and its actions under this Indenture as may be required pursuant to the Trust Indenture Act at the times and in the manner provided pursuant thereto. A copy of each such report shall, at the time of such transmission to Holders, be filed by the Trustee with each stock exchange and automated quotation system, if any, upon which any Securities are listed, with the Commission and with the Company. The Company will promptly notify the Trustee in writing when any Securities are listed on any stock exchange or automated quotation system.</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7.04</w:t>
        <w:tab/>
      </w:r>
      <w:r>
        <w:rPr>
          <w:rFonts w:ascii="Times New Roman;Times;Serif" w:hAnsi="Times New Roman;Times;Serif"/>
          <w:b/>
          <w:i/>
          <w:caps w:val="false"/>
          <w:smallCaps w:val="false"/>
          <w:sz w:val="20"/>
        </w:rPr>
        <w:t>Reports by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Company files the same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information, documents, reports and summaries shall be deemed to have been (i) filed by the Company with the Trustee and (ii) transmitted by the Company to Holders, as the case may be, if the Company has filed such information, documents, reports and summaries with the Commission using the EDGAR filing system (or any successor filing system) and such reports are publicly available, in each case to the extent such filing with the EDGAR filing system (or any successor filing system) and the foregoing effect thereof, is not prohibited by the Act.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7.05</w:t>
        <w:tab/>
      </w:r>
      <w:r>
        <w:rPr>
          <w:rFonts w:ascii="Times New Roman;Times;Serif" w:hAnsi="Times New Roman;Times;Serif"/>
          <w:b/>
          <w:i/>
          <w:caps w:val="false"/>
          <w:smallCaps w:val="false"/>
          <w:sz w:val="20"/>
        </w:rPr>
        <w:t>Calculation of Original Issue Discount.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the Trustee or any Holder, the Company shall file with the Trustee or deliver to such Holder promptly at the end of each calendar year a written notice specifying the amount of original issue discount (including daily rates and accrual periods), if any, accrued on Outstanding Securities as of the end of such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CONSOLIDATION, MERGER, CONVEYANCE, TRANSFER OR LEASE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8.01</w:t>
        <w:tab/>
      </w:r>
      <w:r>
        <w:rPr>
          <w:rFonts w:ascii="Times New Roman;Times;Serif" w:hAnsi="Times New Roman;Times;Serif"/>
          <w:b/>
          <w:i/>
          <w:caps w:val="false"/>
          <w:smallCaps w:val="false"/>
          <w:sz w:val="20"/>
        </w:rPr>
        <w:t>Company May Consolidate, Etc., Only on Certain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or merge into any other Person or convey, transfer or lease (as lessor) all or substantially all of its assets to any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the surviving Person, in the case of a merger,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Person formed by such consolidation or into which the Company is merged or the Person which acquires or leases, all or substantially all of the assets of the Company (such Person, the “</w:t>
      </w:r>
      <w:r>
        <w:rPr>
          <w:rFonts w:ascii="Times New Roman;Times;Serif" w:hAnsi="Times New Roman;Times;Serif"/>
          <w:b/>
          <w:i/>
          <w:caps w:val="false"/>
          <w:smallCaps w:val="false"/>
          <w:sz w:val="20"/>
        </w:rPr>
        <w:t>Successor Company</w:t>
      </w:r>
      <w:r>
        <w:rPr>
          <w:rFonts w:ascii="Times New Roman;Times;Serif" w:hAnsi="Times New Roman;Times;Serif"/>
          <w:b w:val="false"/>
          <w:i w:val="false"/>
          <w:caps w:val="false"/>
          <w:smallCaps w:val="false"/>
          <w:sz w:val="20"/>
        </w:rPr>
        <w:t>”) is a corporation organized and validly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(and treating any indebtedness that becomes an obligation of the Successor Company or any subsidiary of the Company as a result of such transaction as having been incurred by the Successor Company or such subsidiary at the time of such transaction), no Event of Default, and no event which, after notice or lapse of time or both, would become an Event of Default, shall exist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8.02</w:t>
        <w:tab/>
      </w:r>
      <w:r>
        <w:rPr>
          <w:rFonts w:ascii="Times New Roman;Times;Serif" w:hAnsi="Times New Roman;Times;Serif"/>
          <w:b/>
          <w:i/>
          <w:caps w:val="false"/>
          <w:smallCaps w:val="false"/>
          <w:sz w:val="20"/>
        </w:rPr>
        <w:t>Successor Substituted.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of the Company with, or merger of the Company into, any other Person or any conveyance, transfer or lease of all or substantially all of the assets of the Company in accordance with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the Successor Company shall succeed to, and be substituted for, and may exercise every right and power of, the Company under this Indenture with the same effect as if such Successor Company had been named as the Company herein, and thereafter, except in the case of a lease (where the Company is the lessor), the predecessor Person shall be relieved of all obligations and covenants under this Indenture and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SUPPLEMENTAL INDENTURES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9.01</w:t>
        <w:tab/>
      </w:r>
      <w:r>
        <w:rPr>
          <w:rFonts w:ascii="Times New Roman;Times;Serif" w:hAnsi="Times New Roman;Times;Serif"/>
          <w:b/>
          <w:i/>
          <w:caps w:val="false"/>
          <w:smallCaps w:val="false"/>
          <w:sz w:val="20"/>
        </w:rPr>
        <w:t>Supplemental Indentures Without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the Company and the Trustee, at any time and from time to time, may enter into one or more indentures supplemental hereto, in form satisfactory to the Trustee, for any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Person to the Company under this Indenture and the Securities and the assumption by such successor of the obligations of the Company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add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with regard to all or any series of Securities (and if any such surrender is to be made with regard to less than all series of Securities, stating that such surrender is expressly being made solely with regard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change or eliminate any of the provisions of this Indenture in respect of all or any series of Securities (and if such addition, change or elimination is to apply to less than all series of Securities, stating that it is expressly being made to apply solely with respect to such series); provided that any such addition, change or elimination (1) shall neither (i) apply to any Security of any series created prior to the execution of such supplemental indenture and entitled to the benefit of such provision nor (ii) modify the rights of the Holder of any such Security with respect to such provision or (2) shall become effective only when there is no such Security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secure the Securities or any guarantee with respect to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establish the form or terms of Securities of any series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or to correct or supplement any provision herein which may be defective or inconsistent with any other provision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make any other provisions with respect to matters or questions arising under this Indenture, provided that such action pursuant to this Clause (j) shall not adversely affect the interests of the Holders of any Securities of any Outstanding series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add one or more guarantors with respect to the Securities or to release guarantors in accordance with the provisions of any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qualify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comply with the rules or regulations of any securities exchange or automated quotation system on which any of the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comply with the rules of any applicable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subject to any limitations established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to provide for the issuance of additional Securities of any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conform any provision of this Indenture, any supplemental indenture, one or more series of Securities or any related guarantees or security documents, if any, to the description of such Securities contained in the Company’s prospectus, prospectus supplement, offering memorandum or similar document with respect to the offering of the Securities of such series.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9.02</w:t>
        <w:tab/>
      </w:r>
      <w:r>
        <w:rPr>
          <w:rFonts w:ascii="Times New Roman;Times;Serif" w:hAnsi="Times New Roman;Times;Serif"/>
          <w:b/>
          <w:i/>
          <w:caps w:val="false"/>
          <w:smallCaps w:val="false"/>
          <w:sz w:val="20"/>
        </w:rPr>
        <w:t>Supplemental Indentures With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not less than a majority in aggregate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modifying in any manner the rights of the Holders of Securities of such series under this Indenture; provided, however, that no such supplemental indenture shall, without the consent of the Holder of each Outstanding Security of such series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or change the Company’s obligation to maintain an office or agency for payment of Securities and the other matters specified herein, or the coin or currency in which any Security is payable, or impair the right to institute suit for the enforcement of any such payment on or after the Stated Maturity thereof (or, in the case of redemption, on or after the Redemption Date), or alter the method of computation of interest, or eliminate a guarantee of Securities, if any (other than in accordance with the terms of the Indenture), or alter in any material respect adverse to the Holders of applicable Securities the terms of any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percentage in aggregate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modify any of the provisions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or the deletion of this proviso, in accordance with the requirements of </w:t>
      </w:r>
      <w:r>
        <w:rPr>
          <w:rFonts w:ascii="Times New Roman;Times;Serif" w:hAnsi="Times New Roman;Times;Serif"/>
          <w:b w:val="false"/>
          <w:i w:val="false"/>
          <w:caps w:val="false"/>
          <w:smallCaps w:val="false"/>
          <w:sz w:val="20"/>
          <w:u w:val="single"/>
        </w:rPr>
        <w:t>Sections 6.11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Securities of any series are convertible into or for any other securities or property of the Company, make any change that adversely affects in any material respect the right to convert any Security of such series (except as permitted by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decrease the conversion rate or increase the conversion price of any such Security of such series, unless such decrease or increase is permitted by the terms of such Security.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to approve the particular form of any proposed supplemental indenture, but it shall be sufficient if such Act shall approve the substance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payments on the Securities of such series payable in currency other than as originally stated in such Security.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9.03</w:t>
        <w:tab/>
      </w:r>
      <w:r>
        <w:rPr>
          <w:rFonts w:ascii="Times New Roman;Times;Serif" w:hAnsi="Times New Roman;Times;Serif"/>
          <w:b/>
          <w:i/>
          <w:caps w:val="false"/>
          <w:smallCaps w:val="false"/>
          <w:sz w:val="20"/>
        </w:rPr>
        <w:t>Execution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fully protected in relying upon, an Officer’s Certificate and Opinion of Counsel stating that the execution of such supplemental indenture is authorized or permitted by this Indenture, and is the legal, valid, and binding obligation of the Company. The Trustee may, but shall not be obligated to, enter into any such supplemental indenture which affects the Trustee’s own rights, duties or immunities under this Indenture or otherwise.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49</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9.04</w:t>
        <w:tab/>
      </w:r>
      <w:r>
        <w:rPr>
          <w:rFonts w:ascii="Times New Roman;Times;Serif" w:hAnsi="Times New Roman;Times;Serif"/>
          <w:b/>
          <w:i/>
          <w:caps w:val="false"/>
          <w:smallCaps w:val="false"/>
          <w:sz w:val="20"/>
        </w:rPr>
        <w:t>Effect of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9.05</w:t>
        <w:tab/>
      </w:r>
      <w:r>
        <w:rPr>
          <w:rFonts w:ascii="Times New Roman;Times;Serif" w:hAnsi="Times New Roman;Times;Serif"/>
          <w:b/>
          <w:i/>
          <w:caps w:val="false"/>
          <w:smallCaps w:val="false"/>
          <w:sz w:val="20"/>
        </w:rPr>
        <w:t>Conformity with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supplemental indenture executed pursuant to this Article shall conform to the requirements of the Trust Indenture Act.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9.06</w:t>
        <w:tab/>
      </w:r>
      <w:r>
        <w:rPr>
          <w:rFonts w:ascii="Times New Roman;Times;Serif" w:hAnsi="Times New Roman;Times;Serif"/>
          <w:b/>
          <w:i/>
          <w:caps w:val="false"/>
          <w:smallCaps w:val="false"/>
          <w:sz w:val="20"/>
        </w:rPr>
        <w:t>Reference in Securities to 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Failure to make a notation or issue a new Security shall not affect the validity and effect of any amendment, supplement or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COVENANTS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10.01</w:t>
        <w:tab/>
      </w:r>
      <w:r>
        <w:rPr>
          <w:rFonts w:ascii="Times New Roman;Times;Serif" w:hAnsi="Times New Roman;Times;Serif"/>
          <w:b/>
          <w:i/>
          <w:caps w:val="false"/>
          <w:smallCaps w:val="false"/>
          <w:sz w:val="20"/>
        </w:rPr>
        <w:t>Payment of Principal, Premium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each series of Securities that it will duly and punctually pay the principal of and premium, if any, and interest on the Securities of that series in accordance with the terms of the Securities and this Indenture. Principal, premium, if any, and interest will be considered paid on the date due if the Trustee or Paying Agent, if other than the Company, holds as of Noon, New York City time, on the due date, money deposited by the Company in immediately available funds and designated for and sufficient to pay all principal, premium, if any, and interest on the Securities then due.</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10.02</w:t>
        <w:tab/>
      </w:r>
      <w:r>
        <w:rPr>
          <w:rFonts w:ascii="Times New Roman;Times;Serif" w:hAnsi="Times New Roman;Times;Serif"/>
          <w:b/>
          <w:i/>
          <w:caps w:val="false"/>
          <w:smallCaps w:val="false"/>
          <w:sz w:val="20"/>
        </w:rPr>
        <w:t>Maintenance of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provided that the Corporate Trust Office of the Trustee shall not be a place of service of legal process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with respect to a series of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the Company hereby initially designates as the Place of Payment for each series of Securities to be the Corporate Trust Office of the Trustee, and initially appoints the Trustee as Paying Agent at its Corporate Trust Office as the Company’s office or agency for each such purpose in such city; provided that with respect to a Global Security, and except as may otherwise be specified for such Global Security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any payment, presentation, surrender of delivery effected pursuant to the Applicable Procedures of the Depositary for such Global Security shall be deemed to have been effected at the Place of Payment for such Global Securities in accordance with the provisions of this Indenture.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10.03</w:t>
        <w:tab/>
      </w:r>
      <w:r>
        <w:rPr>
          <w:rFonts w:ascii="Times New Roman;Times;Serif" w:hAnsi="Times New Roman;Times;Serif"/>
          <w:b/>
          <w:i/>
          <w:caps w:val="false"/>
          <w:smallCaps w:val="false"/>
          <w:sz w:val="20"/>
        </w:rPr>
        <w:t>Money for Securities Payments to Be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the Company shall have one or more Paying Agents for any series of Securities, it will, on or prior to Noon, New York City time, on each due date of the principal of or any premium or interest on any Securities of that series, deposit (or, if the Company has deposited any trust funds with a trustee pursuant to </w:t>
      </w:r>
      <w:r>
        <w:rPr>
          <w:rFonts w:ascii="Times New Roman;Times;Serif" w:hAnsi="Times New Roman;Times;Serif"/>
          <w:b w:val="false"/>
          <w:i w:val="false"/>
          <w:caps w:val="false"/>
          <w:smallCaps w:val="false"/>
          <w:sz w:val="20"/>
          <w:u w:val="single"/>
        </w:rPr>
        <w:t>Section 13.04(a)</w:t>
      </w:r>
      <w:r>
        <w:rPr>
          <w:rFonts w:ascii="Times New Roman;Times;Serif" w:hAnsi="Times New Roman;Times;Serif"/>
          <w:b w:val="false"/>
          <w:i w:val="false"/>
          <w:caps w:val="false"/>
          <w:smallCaps w:val="false"/>
          <w:sz w:val="20"/>
        </w:rPr>
        <w:t>, causes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(and premium, if any) or interest, if any, on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(and premium, if any) or interest, if any, on the Securities of that series; and (3) during the continuance of any such default, upon the written request of the Trustee, forthwith pay to the Trustee all sums held in trust by such Paying Agent for payment in respect of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an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abandoned property law,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10.04</w:t>
        <w:tab/>
      </w:r>
      <w:r>
        <w:rPr>
          <w:rFonts w:ascii="Times New Roman;Times;Serif" w:hAnsi="Times New Roman;Times;Serif"/>
          <w:b/>
          <w:i/>
          <w:caps w:val="false"/>
          <w:smallCaps w:val="false"/>
          <w:sz w:val="20"/>
        </w:rPr>
        <w:t>Statement by Officers as to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to the Trustee, within 135 days after the end of each of its fiscal years ending after the date hereof,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10.05</w:t>
        <w:tab/>
      </w:r>
      <w:r>
        <w:rPr>
          <w:rFonts w:ascii="Times New Roman;Times;Serif" w:hAnsi="Times New Roman;Times;Serif"/>
          <w:b/>
          <w:i/>
          <w:caps w:val="false"/>
          <w:smallCaps w:val="false"/>
          <w:sz w:val="20"/>
        </w:rPr>
        <w:t>Existence.</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will do or cause to be done all things necessary to preserve and keep in full force and effect its corporate (or equivalent) existence.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10.06</w:t>
        <w:tab/>
      </w:r>
      <w:r>
        <w:rPr>
          <w:rFonts w:ascii="Times New Roman;Times;Serif" w:hAnsi="Times New Roman;Times;Serif"/>
          <w:b/>
          <w:i/>
          <w:caps w:val="false"/>
          <w:smallCaps w:val="false"/>
          <w:sz w:val="20"/>
        </w:rPr>
        <w:t>Waiver of Certain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Securities of such series, and except as otherwise specified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Company may, with respect to the Securities of any series, omit in any particular instance to comply with any term, provision or condition set forth in this Indenture, or any applicable supplemental indenture, with respect to the Securities of any series, if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 REDEMPTION OF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11.01</w:t>
        <w:tab/>
      </w:r>
      <w:r>
        <w:rPr>
          <w:rFonts w:ascii="Times New Roman;Times;Serif" w:hAnsi="Times New Roman;Times;Serif"/>
          <w:b/>
          <w:i/>
          <w:caps w:val="false"/>
          <w:smallCaps w:val="false"/>
          <w:sz w:val="20"/>
        </w:rPr>
        <w:t>Applicability of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of any series which are redeemable before their Stated Maturity shall be redeemable in accordance with their terms and (except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in accordance with this Article.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11.02</w:t>
        <w:tab/>
      </w:r>
      <w:r>
        <w:rPr>
          <w:rFonts w:ascii="Times New Roman;Times;Serif" w:hAnsi="Times New Roman;Times;Serif"/>
          <w:b/>
          <w:i/>
          <w:caps w:val="false"/>
          <w:smallCaps w:val="false"/>
          <w:sz w:val="20"/>
        </w:rPr>
        <w:t>Election to Redeem; Notice to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election of the Company to redeem any Securities shall be established in or pursuant to a Board Resolution or an Officer’s Certificate or in another manner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In case of any redemption at the election of the Company of the Securities of any series (including any such redemption affecting only a single Security), the Company shall, not less than 10 Business Days prior to the date the notice of redemption required by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is to be sent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the Company shall furnish the Trustee with an Officer’s Certificate evidencing compliance with such restriction or condition.</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52</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11.03</w:t>
        <w:tab/>
      </w:r>
      <w:r>
        <w:rPr>
          <w:rFonts w:ascii="Times New Roman;Times;Serif" w:hAnsi="Times New Roman;Times;Serif"/>
          <w:b/>
          <w:i/>
          <w:caps w:val="false"/>
          <w:smallCaps w:val="false"/>
          <w:sz w:val="20"/>
        </w:rPr>
        <w:t>Selection by Trustee of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Securities of any series are to be redeemed, selection of the Securities for redemption will be made pro rata, by lot or by such other method as the Trustee in its sole discretion deems appropriate and fair and, to the extent any securities to be redeemed are Global Securities, by the Depositary in accordance with its Applicable Procedures. If less than all the Securities of such series and of a specified tenor are to be redeemed (unless such redemption affects only a single Security), the particular Securities to be redeemed shall be selected not more than 45 days prior to the Redemption Date, from the Outstanding Securities of such series and specified tenor not previously called for redemption in accordance with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11.04</w:t>
        <w:tab/>
      </w:r>
      <w:r>
        <w:rPr>
          <w:rFonts w:ascii="Times New Roman;Times;Serif" w:hAnsi="Times New Roman;Times;Serif"/>
          <w:b/>
          <w:i/>
          <w:caps w:val="false"/>
          <w:smallCaps w:val="false"/>
          <w:sz w:val="20"/>
        </w:rPr>
        <w:t>Notice of Redemption.</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shall be given by first-class mail, postage prepaid, mailed or otherwise in accordance with the Applicable Procedures not less than 10 nor more than 60 days prior to the Redemption Date (or within such period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the relevant Securities), to each Holder of Securities to be redeemed, at his address appearing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identify the Securities to be redeemed (including CUSIP numbers, if any)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(or the method of calculating such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on the Redemption Date, the Redemption Price will become due and payable upon each such Security to be redeemed and, if applicable, that interest thereon will cease to accrue on and after said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each such Security is to be surrendered for payment of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the redemption is for a sinking fund, if such is the case;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any Securities that by their terms may be converted, the terms of conversion, the date on which the right to convert the Security to be redeemed will terminate and the place or places where such Securities may be surrendered for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of Securities to be redeemed at the election of the Company shall be given by the Company or, at the Company’s written request (which may be rescinded or revoked at any time prior the time at which the Trustee shall have given such notice to the Holders), by the Trustee in the name and at the expense of the Company.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11.05</w:t>
        <w:tab/>
      </w:r>
      <w:r>
        <w:rPr>
          <w:rFonts w:ascii="Times New Roman;Times;Serif" w:hAnsi="Times New Roman;Times;Serif"/>
          <w:b/>
          <w:i/>
          <w:caps w:val="false"/>
          <w:smallCaps w:val="false"/>
          <w:sz w:val="20"/>
        </w:rPr>
        <w:t>Deposit of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Noon, New York City time, on any Redemption Date, the Company shall deposit with the Trustee or with a Paying Agent (or, if the Company is acting as its own Paying Agent, segregate and hold in trust as provided in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an amount of money sufficient to pay the Redemption Price of, and (except if the Redemption Date shall be an Interest Payment Date) accrued interest on, all the Securities which are to be redeemed on that date, other than Securities or portions of Securities called for redemption which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or in the terms of such Security) be paid to the Company upon Company Request or, if then held by the Company, shall be discharged from such trust.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11.06</w:t>
        <w:tab/>
      </w:r>
      <w:r>
        <w:rPr>
          <w:rFonts w:ascii="Times New Roman;Times;Serif" w:hAnsi="Times New Roman;Times;Serif"/>
          <w:b/>
          <w:i/>
          <w:caps w:val="false"/>
          <w:smallCaps w:val="false"/>
          <w:sz w:val="20"/>
        </w:rPr>
        <w:t>Securities Payable on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provided further that, 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if the Redemption Date is after a Regular Record Date and on or prior to the Interest Payment Date, the accrued and unpaid interest shall be payable to the Holder of the redeemed Securities registered on the relevant Regular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and any premium shall, until paid, bear interest from the Redemption Date at the rate prescribed therefor in the Security.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54</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11.07</w:t>
        <w:tab/>
      </w:r>
      <w:r>
        <w:rPr>
          <w:rFonts w:ascii="Times New Roman;Times;Serif" w:hAnsi="Times New Roman;Times;Serif"/>
          <w:b/>
          <w:i/>
          <w:caps w:val="false"/>
          <w:smallCaps w:val="false"/>
          <w:sz w:val="20"/>
        </w:rPr>
        <w:t>Securities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 SINKING FUNDS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12.01</w:t>
        <w:tab/>
      </w:r>
      <w:r>
        <w:rPr>
          <w:rFonts w:ascii="Times New Roman;Times;Serif" w:hAnsi="Times New Roman;Times;Serif"/>
          <w:b/>
          <w:i/>
          <w:caps w:val="false"/>
          <w:smallCaps w:val="false"/>
          <w:sz w:val="20"/>
        </w:rPr>
        <w:t>Applicability of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shall be applicable to any sinking fund for the retirement of Securities of any series 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Each sinking fund payment shall be applied to the redemption of Securities as provided for by the terms of such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12.02</w:t>
        <w:tab/>
      </w:r>
      <w:r>
        <w:rPr>
          <w:rFonts w:ascii="Times New Roman;Times;Serif" w:hAnsi="Times New Roman;Times;Serif"/>
          <w:b/>
          <w:i/>
          <w:caps w:val="false"/>
          <w:smallCaps w:val="false"/>
          <w:sz w:val="20"/>
        </w:rPr>
        <w:t>Satisfaction of Sinking Fund Payments with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55</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12.03</w:t>
        <w:tab/>
      </w:r>
      <w:r>
        <w:rPr>
          <w:rFonts w:ascii="Times New Roman;Times;Serif" w:hAnsi="Times New Roman;Times;Serif"/>
          <w:b/>
          <w:i/>
          <w:caps w:val="false"/>
          <w:smallCaps w:val="false"/>
          <w:sz w:val="20"/>
        </w:rPr>
        <w:t>Redemption of Securities for 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(or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cause notice of the redemption thereof to be given in the name of and at the expense of the Company in the manner provided in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Such notice having been duly given, the redemption of such Securities shall be made upon the terms and in the manner stated in </w:t>
      </w:r>
      <w:r>
        <w:rPr>
          <w:rFonts w:ascii="Times New Roman;Times;Serif" w:hAnsi="Times New Roman;Times;Serif"/>
          <w:b w:val="false"/>
          <w:i w:val="false"/>
          <w:caps w:val="false"/>
          <w:smallCaps w:val="false"/>
          <w:sz w:val="20"/>
          <w:u w:val="single"/>
        </w:rPr>
        <w:t>Sections 11.06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 DEFEASANCE AND COVENANT DEFEASANCE</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13.01</w:t>
        <w:tab/>
      </w:r>
      <w:r>
        <w:rPr>
          <w:rFonts w:ascii="Times New Roman;Times;Serif" w:hAnsi="Times New Roman;Times;Serif"/>
          <w:b/>
          <w:i/>
          <w:caps w:val="false"/>
          <w:smallCaps w:val="false"/>
          <w:sz w:val="20"/>
        </w:rPr>
        <w:t>Company’s Option to Effect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elect, at its option at any time, to have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applied to any Securities or any series of Securities, as the case may be, designated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as being defeasible pursuant to such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in accordance with any applicable requirements provided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upon compliance with the conditions set forth below in this Article. Any such election shall be evidenced by a Board Resolution, Officer’s Certificate or in another manner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13.02</w:t>
        <w:tab/>
      </w:r>
      <w:r>
        <w:rPr>
          <w:rFonts w:ascii="Times New Roman;Times;Serif" w:hAnsi="Times New Roman;Times;Serif"/>
          <w:b/>
          <w:i/>
          <w:caps w:val="false"/>
          <w:smallCaps w:val="false"/>
          <w:sz w:val="20"/>
        </w:rPr>
        <w:t>Defeasance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Company’s exercise of its option (if any) to have this Section applied to any Securities or any series of Securities, as the case may be, the Company (and any obligor upon such Securities) shall be deemed to have been discharged from its obligations with respect to such Securities as provided in this Section on and after the date the conditions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are satisfied (hereinafter called “</w:t>
      </w:r>
      <w:r>
        <w:rPr>
          <w:rFonts w:ascii="Times New Roman;Times;Serif" w:hAnsi="Times New Roman;Times;Serif"/>
          <w:b/>
          <w:i/>
          <w:caps w:val="false"/>
          <w:smallCaps w:val="false"/>
          <w:sz w:val="20"/>
        </w:rPr>
        <w:t>Defeasance</w:t>
      </w:r>
      <w:r>
        <w:rPr>
          <w:rFonts w:ascii="Times New Roman;Times;Serif" w:hAnsi="Times New Roman;Times;Serif"/>
          <w:b w:val="false"/>
          <w:i w:val="false"/>
          <w:caps w:val="false"/>
          <w:smallCaps w:val="false"/>
          <w:sz w:val="20"/>
        </w:rPr>
        <w:t xml:space="preserve">”). For this purpose, such Defeasance means that the Company (and any obligor upon such Securities)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such instruments reasonably requested by the Trustee acknowledging the same), subject to the following which shall survive until otherwise terminated or discharged hereunder: (a) the rights of Holders of such Securities to receive, solely from the trust fund described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and as more fully set forth in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payments in respect of the principal of and any premium and interest on such Securities when payments are due, (b) the Company’s obligations with respect to such Securities under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10.03</w:t>
      </w:r>
      <w:r>
        <w:rPr>
          <w:rFonts w:ascii="Times New Roman;Times;Serif" w:hAnsi="Times New Roman;Times;Serif"/>
          <w:b w:val="false"/>
          <w:i w:val="false"/>
          <w:caps w:val="false"/>
          <w:smallCaps w:val="false"/>
          <w:sz w:val="20"/>
        </w:rPr>
        <w:t xml:space="preserve">, (c) the rights, powers, trusts, duties and immunities of the Trustee hereunder and (d) this Article. Subject to compliance with this Article, the Company may exercise its option (if any) to have this Section applied to any Securities notwithstanding the prior exercise of its option (if any) to have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applied to such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13.03</w:t>
        <w:tab/>
      </w:r>
      <w:r>
        <w:rPr>
          <w:rFonts w:ascii="Times New Roman;Times;Serif" w:hAnsi="Times New Roman;Times;Serif"/>
          <w:b/>
          <w:i/>
          <w:caps w:val="false"/>
          <w:smallCaps w:val="false"/>
          <w:sz w:val="20"/>
        </w:rPr>
        <w:t>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Company’s exercise of its option (if any) to have this Section applied to any Securities or any series of Securities, as the case may be, (a) the Company (and any obligor upon such Securities) shall be released from its obligations under </w:t>
      </w:r>
      <w:r>
        <w:rPr>
          <w:rFonts w:ascii="Times New Roman;Times;Serif" w:hAnsi="Times New Roman;Times;Serif"/>
          <w:b w:val="false"/>
          <w:i w:val="false"/>
          <w:caps w:val="false"/>
          <w:smallCaps w:val="false"/>
          <w:sz w:val="20"/>
          <w:u w:val="single"/>
        </w:rPr>
        <w:t>Sections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10.05</w:t>
      </w:r>
      <w:r>
        <w:rPr>
          <w:rFonts w:ascii="Times New Roman;Times;Serif" w:hAnsi="Times New Roman;Times;Serif"/>
          <w:b w:val="false"/>
          <w:i w:val="false"/>
          <w:caps w:val="false"/>
          <w:smallCaps w:val="false"/>
          <w:sz w:val="20"/>
        </w:rPr>
        <w:t xml:space="preserve">, and any covenants provided pursuant to </w:t>
      </w:r>
      <w:r>
        <w:rPr>
          <w:rFonts w:ascii="Times New Roman;Times;Serif" w:hAnsi="Times New Roman;Times;Serif"/>
          <w:b w:val="false"/>
          <w:i w:val="false"/>
          <w:caps w:val="false"/>
          <w:smallCaps w:val="false"/>
          <w:sz w:val="20"/>
          <w:u w:val="single"/>
        </w:rPr>
        <w:t>Section 3.01(u)</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9.01(g)</w:t>
      </w:r>
      <w:r>
        <w:rPr>
          <w:rFonts w:ascii="Times New Roman;Times;Serif" w:hAnsi="Times New Roman;Times;Serif"/>
          <w:b w:val="false"/>
          <w:i w:val="false"/>
          <w:caps w:val="false"/>
          <w:smallCaps w:val="false"/>
          <w:sz w:val="20"/>
        </w:rPr>
        <w:t xml:space="preserve"> for the benefit of the Holders of such Securities and (b) the occurrence of any event specified in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 xml:space="preserve"> shall be deemed not to be or result in an Event of Default, in each case with respect to such Securities as provided in this Section on and after the date the conditions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are satisfied (hereinafter called “</w:t>
      </w:r>
      <w:r>
        <w:rPr>
          <w:rFonts w:ascii="Times New Roman;Times;Serif" w:hAnsi="Times New Roman;Times;Serif"/>
          <w:b/>
          <w:i/>
          <w:caps w:val="false"/>
          <w:smallCaps w:val="false"/>
          <w:sz w:val="20"/>
        </w:rPr>
        <w:t>Covenant Defeasance</w:t>
      </w:r>
      <w:r>
        <w:rPr>
          <w:rFonts w:ascii="Times New Roman;Times;Serif" w:hAnsi="Times New Roman;Times;Serif"/>
          <w:b w:val="false"/>
          <w:i w:val="false"/>
          <w:caps w:val="false"/>
          <w:smallCaps w:val="false"/>
          <w:sz w:val="20"/>
        </w:rPr>
        <w:t>”). For this purpose, such Covenant Defeasance means that, with respect to such Securities, the Company (and any obligor upon such Securities)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56</w:t>
      </w:r>
    </w:p>
    <w:p>
      <w:pPr>
        <w:pStyle w:val="TextBody"/>
        <w:bidi w:val="0"/>
        <w:spacing w:before="0" w:after="0"/>
        <w:ind w:left="0" w:right="0" w:hanging="0"/>
        <w:jc w:val="left"/>
        <w:rPr/>
      </w:pPr>
      <w:r>
        <w:rPr/>
        <w:t> </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13.04</w:t>
        <w:tab/>
      </w:r>
      <w:r>
        <w:rPr>
          <w:rFonts w:ascii="Times New Roman;Times;Serif" w:hAnsi="Times New Roman;Times;Serif"/>
          <w:b/>
          <w:i/>
          <w:caps w:val="false"/>
          <w:smallCaps w:val="false"/>
          <w:sz w:val="20"/>
        </w:rPr>
        <w:t>Conditions to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shall be the conditions to the application of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to any Securities or any series of Securities,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irrevocably have deposited or caused to be deposited with the Trustee (or another trustee which satisfies the requirements contemplated by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in the case of any series of Securities the payment on which may only be made in legal coin or currency of the United States, U.S. Government Obligations which through the scheduled payment of principal and interest in respect thereof in accordance with their terms will provide, not later than Noon, New York City time, on the due date of any payment, money in an amount, or (C) such other obligations or arrangements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such Securities, or (D) a combination thereof, in each case sufficient, in the opinion of a nationally recognized firm of independent public accountants or investment bankers, in either case expressed in a written certification thereof to be delivered to the Trustee, to pay and discharge, and which shall be applied by the Trustee (or any such other qualifying trustee) to pay and discharge, (1) the principal of and any premium and interest on such Securities on the respective Stated Maturities, in accordance with the terms of this Indenture and such Securities or any Redemption Date established pursuant to clause (i) below, and (2) any mandatory sinking fund payments on the dates on which such payments are due and payable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w:t>
      </w:r>
      <w:r>
        <w:rPr>
          <w:rFonts w:ascii="Times New Roman;Times;Serif" w:hAnsi="Times New Roman;Times;Serif"/>
          <w:b w:val="false"/>
          <w:i w:val="false"/>
          <w:caps w:val="false"/>
          <w:smallCaps w:val="false"/>
          <w:sz w:val="20"/>
          <w:u w:val="single"/>
        </w:rPr>
        <w:t>Section 3(a)(2)</w:t>
      </w:r>
      <w:r>
        <w:rPr>
          <w:rFonts w:ascii="Times New Roman;Times;Serif" w:hAnsi="Times New Roman;Times;Serif"/>
          <w:b w:val="false"/>
          <w:i w:val="false"/>
          <w:caps w:val="false"/>
          <w:smallCaps w:val="false"/>
          <w:sz w:val="20"/>
        </w:rPr>
        <w:t xml:space="preserve">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an election to have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an election to have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apply to any Securities or any series of Securities, as the case may be, the Company shall have delivered to the Trustee an Opinion of Counsel that shall confirm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Officer’s Certificate to the effect that neither such Securities nor any other Securities of the same series, if then listed on any securities exchange, will be delisted as a result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event which is, or after notice or lapse of time or both would become, an Event of Default with respect to the Securities of such series shall have occurred and be continuing at the time of such deposit or, with regard to any such Event of Default specified in Section 5.01(e) and (f), at any time on or prior to the 90th day after the date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with respect to such Defeasance or Covenant Defeasance have been complied with.</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100" w:right="0"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or after a deposit, the Company may make arrangements satisfactory to the Trustee for the redemption of Securities at a future date in accordance with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13.05</w:t>
        <w:tab/>
      </w:r>
      <w:r>
        <w:rPr>
          <w:rFonts w:ascii="Times New Roman;Times;Serif" w:hAnsi="Times New Roman;Times;Serif"/>
          <w:b/>
          <w:i/>
          <w:caps w:val="false"/>
          <w:smallCaps w:val="false"/>
          <w:sz w:val="20"/>
        </w:rPr>
        <w:t>Deposited Money and U.S. Government Obligations to Be Held in Trust; 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all money and U.S. Government Obligations (including the proceeds thereof) deposited with the Trustee or other qualifying trustee (solely for purposes of this Section and </w:t>
      </w:r>
      <w:r>
        <w:rPr>
          <w:rFonts w:ascii="Times New Roman;Times;Serif" w:hAnsi="Times New Roman;Times;Serif"/>
          <w:b w:val="false"/>
          <w:i w:val="false"/>
          <w:caps w:val="false"/>
          <w:smallCaps w:val="false"/>
          <w:sz w:val="20"/>
          <w:u w:val="single"/>
        </w:rPr>
        <w:t>Section 13.06</w:t>
      </w:r>
      <w:r>
        <w:rPr>
          <w:rFonts w:ascii="Times New Roman;Times;Serif" w:hAnsi="Times New Roman;Times;Serif"/>
          <w:b w:val="false"/>
          <w:i w:val="false"/>
          <w:caps w:val="false"/>
          <w:smallCaps w:val="false"/>
          <w:sz w:val="20"/>
        </w:rPr>
        <w:t>, the Trustee and any such other trustee are referred to collectively as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pay and indemnify the Trustee against any tax, fee or other charge imposed on or assessed against the U.S. Government Obligations deposited pursuant to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or the principal and interest received in respect thereof other than any such tax, fee or other charge which by law is for the account of the Holders of Outstanding Securities; provided that the Trustee shall be entitled to charge any such tax, fee or other charge to such Holder’s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this Article to the contrary notwithstanding, the Trustee shall deliver or pay to the Company from time to time upon Company Request any money or U.S. Government Obligations held by it as provided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with respect to any Securities which are in excess of the amount thereof which would then be required to be deposited to effect the Defeasance or Covenant Defeasance, as the case may be, with respect to such Securities.</w:t>
      </w:r>
    </w:p>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13.06</w:t>
        <w:tab/>
      </w:r>
      <w:r>
        <w:rPr>
          <w:rFonts w:ascii="Times New Roman;Times;Serif" w:hAnsi="Times New Roman;Times;Serif"/>
          <w:b/>
          <w:i/>
          <w:caps w:val="false"/>
          <w:smallCaps w:val="false"/>
          <w:sz w:val="20"/>
        </w:rPr>
        <w:t>Reinstatement.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such Securities from which the Company has been discharged or released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shall be revived and reinstated as though no deposit had occurred pursuant to this Article with respect to such Securities, until such time as the Trustee or Paying Agent is permitted to apply all money held in trust pursuant to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with respect to such Securities in accordance with this Article; provided, however,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 (b) 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Company’s obligations has occurred and continues to be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sz w:val="20"/>
              </w:rPr>
            </w:pPr>
            <w:r>
              <w:rPr>
                <w:b/>
                <w:sz w:val="20"/>
              </w:rPr>
              <w:t>HEICO CORPORATION</w:t>
            </w:r>
          </w:p>
        </w:tc>
      </w:tr>
    </w:tbl>
    <w:p>
      <w:pPr>
        <w:pStyle w:val="TextBody"/>
        <w:bidi w:val="0"/>
        <w:spacing w:before="0" w:after="0"/>
        <w:ind w:left="432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0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Carlos L. Macau, Jr.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35" w:type="dxa"/>
            <w:tcBorders/>
            <w:vAlign w:val="center"/>
          </w:tcPr>
          <w:p>
            <w:pPr>
              <w:pStyle w:val="TableContents"/>
              <w:bidi w:val="0"/>
              <w:spacing w:before="0" w:after="283"/>
              <w:jc w:val="left"/>
              <w:rPr>
                <w:sz w:val="20"/>
              </w:rPr>
            </w:pPr>
            <w:r>
              <w:rPr>
                <w:sz w:val="20"/>
              </w:rPr>
              <w:t xml:space="preserve">Carlos L. Macau, Jr.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35" w:type="dxa"/>
            <w:tcBorders/>
            <w:vAlign w:val="center"/>
          </w:tcPr>
          <w:p>
            <w:pPr>
              <w:pStyle w:val="TableContents"/>
              <w:bidi w:val="0"/>
              <w:spacing w:before="0" w:after="283"/>
              <w:jc w:val="left"/>
              <w:rPr>
                <w:sz w:val="20"/>
              </w:rPr>
            </w:pPr>
            <w:r>
              <w:rPr>
                <w:sz w:val="20"/>
              </w:rPr>
              <w:t xml:space="preserve">Executive Vice President,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75"/>
        <w:gridCol w:w="2255"/>
      </w:tblGrid>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b/>
                <w:sz w:val="20"/>
              </w:rPr>
              <w:t>TRUIST BANK,</w:t>
            </w:r>
            <w:r>
              <w:rPr>
                <w:sz w:val="20"/>
              </w:rPr>
              <w:t xml:space="preserve"> as Trustee</w:t>
            </w:r>
          </w:p>
        </w:tc>
      </w:tr>
    </w:tbl>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545"/>
        <w:gridCol w:w="165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6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Patrick Giordano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55" w:type="dxa"/>
            <w:tcBorders/>
            <w:vAlign w:val="center"/>
          </w:tcPr>
          <w:p>
            <w:pPr>
              <w:pStyle w:val="TableContents"/>
              <w:bidi w:val="0"/>
              <w:spacing w:before="0" w:after="283"/>
              <w:jc w:val="left"/>
              <w:rPr>
                <w:sz w:val="20"/>
              </w:rPr>
            </w:pPr>
            <w:r>
              <w:rPr>
                <w:sz w:val="20"/>
              </w:rPr>
              <w:t>Patrick Giordano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655" w:type="dxa"/>
            <w:tcBorders/>
            <w:vAlign w:val="center"/>
          </w:tcPr>
          <w:p>
            <w:pPr>
              <w:pStyle w:val="TableContents"/>
              <w:bidi w:val="0"/>
              <w:spacing w:before="0" w:after="283"/>
              <w:jc w:val="left"/>
              <w:rPr>
                <w:sz w:val="20"/>
              </w:rPr>
            </w:pPr>
            <w:r>
              <w:rPr>
                <w:sz w:val="20"/>
              </w:rPr>
              <w:t xml:space="preserve">Vice President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Senior Note due 20[   ]</w:t>
      </w:r>
    </w:p>
    <w:p>
      <w:pPr>
        <w:pStyle w:val="TextBody"/>
        <w:bidi w:val="0"/>
        <w:spacing w:before="0" w:after="0"/>
        <w:ind w:left="0" w:right="0" w:hanging="0"/>
        <w:jc w:val="center"/>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320"/>
        <w:gridCol w:w="60"/>
        <w:gridCol w:w="935"/>
      </w:tblGrid>
      <w:tr>
        <w:trPr/>
        <w:tc>
          <w:tcPr>
            <w:tcW w:w="320" w:type="dxa"/>
            <w:tcBorders/>
            <w:vAlign w:val="center"/>
          </w:tcPr>
          <w:p>
            <w:pPr>
              <w:pStyle w:val="TableContents"/>
              <w:bidi w:val="0"/>
              <w:spacing w:before="0" w:after="283"/>
              <w:jc w:val="both"/>
              <w:rPr>
                <w:sz w:val="20"/>
              </w:rPr>
            </w:pPr>
            <w:r>
              <w:rPr>
                <w:sz w:val="20"/>
              </w:rPr>
              <w:t>No.</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both"/>
              <w:rPr>
                <w:sz w:val="20"/>
              </w:rPr>
            </w:pPr>
            <w:r>
              <w:rPr>
                <w:sz w:val="20"/>
              </w:rPr>
              <w:t>$</w:t>
            </w:r>
          </w:p>
        </w:tc>
      </w:tr>
      <w:tr>
        <w:trPr/>
        <w:tc>
          <w:tcPr>
            <w:tcW w:w="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both"/>
              <w:rPr>
                <w:sz w:val="20"/>
              </w:rPr>
            </w:pPr>
            <w:r>
              <w:rPr>
                <w:sz w:val="20"/>
              </w:rPr>
              <w:t>CUSIP 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HEICO Corporation, duly organized and existing under the laws of the State of Florida (herein called the “Company,” which term includes any successor Person under the Indenture hereinafter referred to), for value received, hereby promises to pay to Cede &amp; Co., or registered assigns, the principal sum listed on the Schedule of Increases or Decreases in Global Security attached hereto on [   ], 20[   ] and to pay interest thereon from [   ], 20[   ] or from the most recent Interest Payment Date to which interest has been paid or duly provided for, semiannually in arrears on [   ] and [   ] in each year, commencing [   ], 20[   ] at the rate of [   ]% per annum, until the principal hereof is paid or duly provided 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principal and premium, and any such installment of interest, which is overdue shall bear interest at the rate of [   ]% per annum (to the extent that the payment of such interest shall be legally enforceable), from the dates such amounts are due until they are paid or duly provided for. The interest so payable and punctually paid or duly provided for, on any Interest Payment Date shall, as provided in the Indenture, be paid to the Person in whose name this Security (or one or more predecessor Securities) is registered at the close of business on the Regular Record Date for such interest, which shall be the [   ] and [   ]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interest on this Security shall be made at the office or agency of the Company maintained for that purpose in the Borough of Manhattan, The City of New York,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this Security shall not be entitled to any benefit under the Indenture or be valid or obligatory for any purpose.</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Security to be duly executed.</w:t>
      </w:r>
    </w:p>
    <w:p>
      <w:pPr>
        <w:pStyle w:val="TextBody"/>
        <w:bidi w:val="0"/>
        <w:spacing w:before="0" w:after="0"/>
        <w:ind w:left="432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sz w:val="20"/>
              </w:rPr>
            </w:pPr>
            <w:r>
              <w:rPr>
                <w:b/>
                <w:sz w:val="20"/>
              </w:rPr>
              <w:t>HEICO CORPORATION</w:t>
            </w:r>
          </w:p>
        </w:tc>
      </w:tr>
    </w:tbl>
    <w:p>
      <w:pPr>
        <w:pStyle w:val="TextBody"/>
        <w:bidi w:val="0"/>
        <w:spacing w:before="0" w:after="0"/>
        <w:ind w:left="432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432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75"/>
        <w:gridCol w:w="575"/>
      </w:tblGrid>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Attest:</w:t>
            </w:r>
          </w:p>
        </w:tc>
      </w:tr>
    </w:tbl>
    <w:p>
      <w:pPr>
        <w:pStyle w:val="TextBody"/>
        <w:bidi w:val="0"/>
        <w:spacing w:before="0" w:after="0"/>
        <w:ind w:left="432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4320" w:right="0" w:hanging="0"/>
        <w:jc w:val="left"/>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9260"/>
        <w:gridCol w:w="75"/>
      </w:tblGrid>
      <w:tr>
        <w:trPr/>
        <w:tc>
          <w:tcPr>
            <w:tcW w:w="9260" w:type="dxa"/>
            <w:tcBorders/>
            <w:vAlign w:val="center"/>
          </w:tcPr>
          <w:p>
            <w:pPr>
              <w:pStyle w:val="TableContents"/>
              <w:bidi w:val="0"/>
              <w:spacing w:before="0" w:after="283"/>
              <w:jc w:val="left"/>
              <w:rPr>
                <w:sz w:val="20"/>
              </w:rPr>
            </w:pPr>
            <w:r>
              <w:rPr>
                <w:sz w:val="20"/>
              </w:rPr>
              <w:t>TRUSTEE’S CERTIFICATE OF AUTHENTICATION</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sz w:val="20"/>
              </w:rPr>
            </w:pPr>
            <w:r>
              <w:rPr>
                <w:sz w:val="20"/>
              </w:rPr>
              <w:t>This is one of the debt Securities of the series designated herein and referred to in the within-mentioned Indenture.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1400"/>
        <w:gridCol w:w="75"/>
      </w:tblGrid>
      <w:tr>
        <w:trPr/>
        <w:tc>
          <w:tcPr>
            <w:tcW w:w="1400" w:type="dxa"/>
            <w:tcBorders/>
            <w:vAlign w:val="center"/>
          </w:tcPr>
          <w:p>
            <w:pPr>
              <w:pStyle w:val="TableContents"/>
              <w:bidi w:val="0"/>
              <w:spacing w:before="0" w:after="283"/>
              <w:jc w:val="left"/>
              <w:rPr>
                <w:sz w:val="20"/>
              </w:rPr>
            </w:pPr>
            <w:r>
              <w:rPr>
                <w:sz w:val="20"/>
              </w:rPr>
              <w:t>Dated:</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b/>
                <w:sz w:val="20"/>
              </w:rPr>
            </w:pPr>
            <w:r>
              <w:rPr>
                <w:b/>
                <w:sz w:val="20"/>
              </w:rPr>
              <w:t>TRUIST BANK,</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20"/>
              </w:rPr>
            </w:pPr>
            <w:r>
              <w:rPr>
                <w:sz w:val="20"/>
              </w:rPr>
              <w:t>as Trustee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designated as [   ]% Senior Notes due [   ] (herein called the “Securities”), limited in aggregate principal amount on the Issue Date to $[   ] issued and to be issued under an Indenture, dated as of [   ], 20[   ] (herein called the “Indenture,” which term shall have the meaning assigned to it in such instrument), among the Company and Truist Bank,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include those expressly set forth in the Indenture and those made part of the Indenture by reference to the Trust Indenture Act of 1939, as amended (the “Trust Indenture Act”). Terms defined in the Indenture and not defined herein have the meanings ascribed thereto in the Indenture. Notwithstanding anything to the contrary herein, the Securities are subject to all such terms, and Holders of Securities are referred to the Indenture and the Trust Indenture Act for a statement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redeemable at the Company’s option, in whole or in part, at any time on or after [   ], 20[   ], at the Redemption Prices (expressed as percentages of principal amount) set forth below, plus accrued and unpaid interest, if any, thereon to the Redemption Date (subject to the right of Holders of record on the relevant Record Date to receive interest due on the relevant Interest Payment Date), if redeemed during the twelve month period beginning on [   ] of each of the years indicated below:</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28" w:type="dxa"/>
          <w:right w:w="0" w:type="dxa"/>
        </w:tblCellMar>
      </w:tblPr>
      <w:tblGrid>
        <w:gridCol w:w="455"/>
        <w:gridCol w:w="60"/>
        <w:gridCol w:w="1550"/>
      </w:tblGrid>
      <w:tr>
        <w:trPr/>
        <w:tc>
          <w:tcPr>
            <w:tcW w:w="455" w:type="dxa"/>
            <w:tcBorders>
              <w:bottom w:val="single" w:sz="12" w:space="0" w:color="000000"/>
            </w:tcBorders>
            <w:vAlign w:val="center"/>
          </w:tcPr>
          <w:p>
            <w:pPr>
              <w:pStyle w:val="TableContents"/>
              <w:bidi w:val="0"/>
              <w:spacing w:before="0" w:after="283"/>
              <w:jc w:val="both"/>
              <w:rPr>
                <w:b/>
                <w:sz w:val="20"/>
              </w:rPr>
            </w:pPr>
            <w:r>
              <w:rPr>
                <w:b/>
                <w:sz w:val="20"/>
              </w:rPr>
              <w:t>Year</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both"/>
              <w:rPr>
                <w:b/>
                <w:sz w:val="20"/>
              </w:rPr>
            </w:pPr>
            <w:r>
              <w:rPr>
                <w:b/>
                <w:sz w:val="20"/>
              </w:rPr>
              <w:t>Redemption Price</w:t>
            </w:r>
          </w:p>
        </w:tc>
      </w:tr>
      <w:tr>
        <w:trPr/>
        <w:tc>
          <w:tcPr>
            <w:tcW w:w="45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both"/>
              <w:rPr>
                <w:sz w:val="20"/>
              </w:rPr>
            </w:pP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legal defeasance at any time of the entire indebtedness of this Security or for covenant defeasance of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there may be declared due and payable the principal of, premium, if any, and accrued and unpaid interest, if any, on all of the outstanding Securities,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not less than 25.0% in aggregate principal amount of the Securities at the time Outstanding shall have made written request to the Trustee to institute proceedings in respect of such Event of Default as Trustee and offered the Trustee indemnity satisfactory to the Trustee and the Trustee shall not have received from the Holders of a majority in aggregate principal amount of Securities at the time Outstanding a direction inconsistent with such request, and shall have failed to institute any such proceeding for 60 days after receipt of such notice, request and offer of indemnity. The foregoing shall not apply to certain suits described in the Indenture, including any suit instituted by the Holder of this Security for the enforcement of any payment of principal hereof or any premium or interest hereon on or after the respective due dates expressed herein (or, in the case of redemption, on or after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which is designated as the Corporate Trust Office of the Trustee in North Carolina,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shall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issuable only in registered form without coupons in denominations of $2,000 and any integral multiples of $1,000 thereof. As provided in the Indenture and subject to certain limitations therein set forth, Securities are exchangeable for a like aggregate principal amount of Securities of like tenor of a different authorized denomination, as requested by the Holder surrendering the same. As provided in the Indenture and subject to certain limitations therein set forth, Securities are exchangeable for a like aggregate principal amount of Securities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shall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Security shall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the conflicts of laws principles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agent to transfer this Security on the books of the Company.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70"/>
        <w:gridCol w:w="60"/>
        <w:gridCol w:w="1325"/>
      </w:tblGrid>
      <w:tr>
        <w:trPr/>
        <w:tc>
          <w:tcPr>
            <w:tcW w:w="470" w:type="dxa"/>
            <w:tcBorders/>
            <w:vAlign w:val="center"/>
          </w:tcPr>
          <w:p>
            <w:pPr>
              <w:pStyle w:val="TableContents"/>
              <w:bidi w:val="0"/>
              <w:spacing w:before="0" w:after="283"/>
              <w:jc w:val="both"/>
              <w:rPr>
                <w:sz w:val="20"/>
              </w:rPr>
            </w:pPr>
            <w:r>
              <w:rPr>
                <w:sz w:val="20"/>
              </w:rPr>
              <w:t>Date:</w:t>
            </w:r>
          </w:p>
        </w:tc>
        <w:tc>
          <w:tcPr>
            <w:tcW w:w="60" w:type="dxa"/>
            <w:tcBorders/>
            <w:vAlign w:val="center"/>
          </w:tcPr>
          <w:p>
            <w:pPr>
              <w:pStyle w:val="TableContents"/>
              <w:bidi w:val="0"/>
              <w:spacing w:before="0" w:after="283"/>
              <w:jc w:val="both"/>
              <w:rPr/>
            </w:pPr>
            <w:r>
              <w:rPr/>
              <w:t> </w:t>
            </w:r>
          </w:p>
        </w:tc>
        <w:tc>
          <w:tcPr>
            <w:tcW w:w="1325" w:type="dxa"/>
            <w:tcBorders/>
            <w:vAlign w:val="center"/>
          </w:tcPr>
          <w:p>
            <w:pPr>
              <w:pStyle w:val="TableContents"/>
              <w:bidi w:val="0"/>
              <w:spacing w:before="0" w:after="283"/>
              <w:jc w:val="center"/>
              <w:rPr>
                <w:sz w:val="20"/>
              </w:rPr>
            </w:pPr>
            <w:r>
              <w:rPr>
                <w:sz w:val="20"/>
              </w:rPr>
              <w:t>Your Signature:</w:t>
            </w:r>
          </w:p>
        </w:tc>
      </w:tr>
    </w:tbl>
    <w:p>
      <w:pPr>
        <w:pStyle w:val="TextBody"/>
        <w:bidi w:val="0"/>
        <w:spacing w:before="0" w:after="0"/>
        <w:ind w:left="0" w:right="0" w:hanging="0"/>
        <w:jc w:val="both"/>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both"/>
              <w:rPr>
                <w:sz w:val="20"/>
              </w:rPr>
            </w:pPr>
            <w:r>
              <w:rPr>
                <w:sz w:val="20"/>
              </w:rPr>
              <w:t>Sign exactly as your name appears on the other side of this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 TO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Security is $[   ]. The following increases or decreases in this Global Security have been made:</w:t>
      </w:r>
    </w:p>
    <w:p>
      <w:pPr>
        <w:pStyle w:val="TextBody"/>
        <w:bidi w:val="0"/>
        <w:spacing w:before="0" w:after="0"/>
        <w:ind w:left="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28" w:type="dxa"/>
          <w:right w:w="0" w:type="dxa"/>
        </w:tblCellMar>
      </w:tblPr>
      <w:tblGrid>
        <w:gridCol w:w="1520"/>
        <w:gridCol w:w="60"/>
        <w:gridCol w:w="1685"/>
        <w:gridCol w:w="60"/>
        <w:gridCol w:w="1655"/>
        <w:gridCol w:w="60"/>
        <w:gridCol w:w="1565"/>
        <w:gridCol w:w="60"/>
        <w:gridCol w:w="2030"/>
      </w:tblGrid>
      <w:tr>
        <w:trPr/>
        <w:tc>
          <w:tcPr>
            <w:tcW w:w="1520" w:type="dxa"/>
            <w:tcBorders>
              <w:bottom w:val="single" w:sz="12" w:space="0" w:color="000000"/>
            </w:tcBorders>
            <w:vAlign w:val="center"/>
          </w:tcPr>
          <w:p>
            <w:pPr>
              <w:pStyle w:val="TableContents"/>
              <w:bidi w:val="0"/>
              <w:spacing w:before="0" w:after="283"/>
              <w:jc w:val="left"/>
              <w:rPr>
                <w:b/>
                <w:sz w:val="20"/>
              </w:rPr>
            </w:pPr>
            <w:r>
              <w:rPr>
                <w:b/>
                <w:sz w:val="20"/>
              </w:rPr>
              <w:t>Date of Exchange</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12" w:space="0" w:color="000000"/>
            </w:tcBorders>
            <w:vAlign w:val="center"/>
          </w:tcPr>
          <w:p>
            <w:pPr>
              <w:pStyle w:val="TableContents"/>
              <w:bidi w:val="0"/>
              <w:spacing w:before="0" w:after="283"/>
              <w:jc w:val="center"/>
              <w:rPr>
                <w:b/>
                <w:sz w:val="20"/>
              </w:rPr>
            </w:pPr>
            <w:r>
              <w:rPr>
                <w:b/>
                <w:sz w:val="20"/>
              </w:rPr>
              <w:t>Amount of decrease</w:t>
              <w:br/>
              <w:t>in Principal</w:t>
              <w:br/>
              <w:t>Amount of this</w:t>
              <w:br/>
              <w:t>Global Security</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Amount of increase</w:t>
              <w:br/>
              <w:t>in Principal</w:t>
              <w:br/>
              <w:t>Amount of this</w:t>
              <w:br/>
              <w:t>Global Security</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Principal amount</w:t>
              <w:br/>
              <w:t>of this Global</w:t>
              <w:br/>
              <w:t>Security following</w:t>
              <w:br/>
              <w:t>such decrease or</w:t>
              <w:br/>
              <w:t>increase</w:t>
            </w:r>
          </w:p>
        </w:tc>
        <w:tc>
          <w:tcPr>
            <w:tcW w:w="60" w:type="dxa"/>
            <w:tcBorders/>
            <w:tcMar>
              <w:bottom w:w="0" w:type="dxa"/>
            </w:tcMar>
            <w:vAlign w:val="center"/>
          </w:tcPr>
          <w:p>
            <w:pPr>
              <w:pStyle w:val="TableContents"/>
              <w:bidi w:val="0"/>
              <w:spacing w:before="0" w:after="283"/>
              <w:jc w:val="center"/>
              <w:rPr/>
            </w:pPr>
            <w:r>
              <w:rPr/>
              <w:t> </w:t>
            </w:r>
          </w:p>
        </w:tc>
        <w:tc>
          <w:tcPr>
            <w:tcW w:w="2030" w:type="dxa"/>
            <w:tcBorders>
              <w:bottom w:val="single" w:sz="12" w:space="0" w:color="000000"/>
            </w:tcBorders>
            <w:vAlign w:val="center"/>
          </w:tcPr>
          <w:p>
            <w:pPr>
              <w:pStyle w:val="TableContents"/>
              <w:bidi w:val="0"/>
              <w:spacing w:before="0" w:after="283"/>
              <w:jc w:val="center"/>
              <w:rPr>
                <w:b/>
                <w:sz w:val="20"/>
              </w:rPr>
            </w:pPr>
            <w:r>
              <w:rPr>
                <w:b/>
                <w:sz w:val="20"/>
              </w:rPr>
              <w:t>Signature of authorized</w:t>
              <w:br/>
              <w:t>signatory of</w:t>
              <w:br/>
              <w:t>Trustee or</w:t>
              <w:br/>
              <w:t>Securities</w:t>
              <w:br/>
              <w:t>Custodian</w:t>
            </w:r>
          </w:p>
        </w:tc>
      </w:tr>
      <w:tr>
        <w:trPr/>
        <w:tc>
          <w:tcPr>
            <w:tcW w:w="152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ind w:left="0" w:right="0" w:hanging="0"/>
        <w:jc w:val="right"/>
        <w:rPr>
          <w:b/>
        </w:rPr>
      </w:pPr>
      <w:bookmarkStart w:id="29" w:name="ea029813301ex4-2.htm"/>
      <w:bookmarkStart w:id="30" w:name="ksea029813301ex42"/>
      <w:bookmarkEnd w:id="29"/>
      <w:bookmarkEnd w:id="30"/>
      <w:r>
        <w:rPr>
          <w:b/>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b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Indenture dated as of 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 Notes due 2031</w:t>
        <w:br/>
        <w:t>5.400%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44" w:type="dxa"/>
        <w:jc w:val="left"/>
        <w:tblInd w:w="0" w:type="dxa"/>
        <w:tblLayout w:type="fixed"/>
        <w:tblCellMar>
          <w:top w:w="0" w:type="dxa"/>
          <w:left w:w="0" w:type="dxa"/>
          <w:bottom w:w="0" w:type="dxa"/>
          <w:right w:w="0" w:type="dxa"/>
        </w:tblCellMar>
      </w:tblPr>
      <w:tblGrid>
        <w:gridCol w:w="1616"/>
        <w:gridCol w:w="5918"/>
        <w:gridCol w:w="410"/>
      </w:tblGrid>
      <w:tr>
        <w:trPr/>
        <w:tc>
          <w:tcPr>
            <w:tcW w:w="7534" w:type="dxa"/>
            <w:gridSpan w:val="2"/>
            <w:tcBorders/>
            <w:shd w:fill="CCEEFF" w:val="clear"/>
            <w:vAlign w:val="center"/>
          </w:tcPr>
          <w:p>
            <w:pPr>
              <w:pStyle w:val="TableContents"/>
              <w:bidi w:val="0"/>
              <w:spacing w:before="0" w:after="283"/>
              <w:jc w:val="both"/>
              <w:rPr>
                <w:b w:val="false"/>
                <w:caps/>
              </w:rPr>
            </w:pPr>
            <w:r>
              <w:rPr>
                <w:rFonts w:ascii="Times New Roman;Times;Serif" w:hAnsi="Times New Roman;Times;Serif"/>
                <w:b/>
                <w:caps/>
              </w:rPr>
              <w:t>Article 1</w:t>
            </w:r>
            <w:r>
              <w:rPr>
                <w:b w:val="false"/>
                <w:caps/>
              </w:rPr>
              <w:t xml:space="preserve"> APPLICATION OF FIRST SUPPLEMENTAL INDENTURE</w:t>
            </w:r>
          </w:p>
        </w:tc>
        <w:tc>
          <w:tcPr>
            <w:tcW w:w="410" w:type="dxa"/>
            <w:tcBorders/>
            <w:shd w:fill="CCEEFF" w:val="clear"/>
            <w:vAlign w:val="center"/>
          </w:tcPr>
          <w:p>
            <w:pPr>
              <w:pStyle w:val="TableContents"/>
              <w:bidi w:val="0"/>
              <w:spacing w:before="0" w:after="283"/>
              <w:jc w:val="center"/>
              <w:rPr>
                <w:b w:val="false"/>
                <w:caps/>
              </w:rPr>
            </w:pPr>
            <w:r>
              <w:rPr>
                <w:b w:val="false"/>
                <w:caps/>
              </w:rPr>
              <w:t>1</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1.01.</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Application of First Supplemental Indenture.</w:t>
            </w:r>
          </w:p>
        </w:tc>
        <w:tc>
          <w:tcPr>
            <w:tcW w:w="410" w:type="dxa"/>
            <w:tcBorders/>
            <w:shd w:fill="CCEEFF" w:val="clear"/>
            <w:vAlign w:val="center"/>
          </w:tcPr>
          <w:p>
            <w:pPr>
              <w:pStyle w:val="TableContents"/>
              <w:bidi w:val="0"/>
              <w:spacing w:before="0" w:after="283"/>
              <w:jc w:val="center"/>
              <w:rPr>
                <w:b w:val="false"/>
              </w:rPr>
            </w:pPr>
            <w:r>
              <w:rPr>
                <w:b w:val="false"/>
              </w:rPr>
              <w:t>1</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rFonts w:ascii="Times New Roman;Times;Serif" w:hAnsi="Times New Roman;Times;Serif"/>
                <w:b/>
                <w:caps/>
              </w:rPr>
              <w:t>Article 2</w:t>
            </w:r>
            <w:r>
              <w:rPr>
                <w:b w:val="false"/>
                <w:caps/>
              </w:rPr>
              <w:t xml:space="preserve"> DEFINITIONS</w:t>
            </w:r>
          </w:p>
        </w:tc>
        <w:tc>
          <w:tcPr>
            <w:tcW w:w="410" w:type="dxa"/>
            <w:tcBorders/>
            <w:shd w:fill="CCEEFF" w:val="clear"/>
            <w:vAlign w:val="center"/>
          </w:tcPr>
          <w:p>
            <w:pPr>
              <w:pStyle w:val="TableContents"/>
              <w:bidi w:val="0"/>
              <w:spacing w:before="0" w:after="283"/>
              <w:jc w:val="center"/>
              <w:rPr>
                <w:b w:val="false"/>
                <w:caps/>
              </w:rPr>
            </w:pPr>
            <w:r>
              <w:rPr>
                <w:b w:val="false"/>
                <w:caps/>
              </w:rPr>
              <w:t>2</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2.01.</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Certain Terms Defined in the Indenture.</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2</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2.02.</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Definitions.</w:t>
            </w:r>
          </w:p>
        </w:tc>
        <w:tc>
          <w:tcPr>
            <w:tcW w:w="410" w:type="dxa"/>
            <w:tcBorders/>
            <w:shd w:fill="FFFFFF" w:val="clear"/>
            <w:vAlign w:val="center"/>
          </w:tcPr>
          <w:p>
            <w:pPr>
              <w:pStyle w:val="TableContents"/>
              <w:bidi w:val="0"/>
              <w:spacing w:before="0" w:after="283"/>
              <w:jc w:val="center"/>
              <w:rPr>
                <w:b w:val="false"/>
              </w:rPr>
            </w:pPr>
            <w:r>
              <w:rPr>
                <w:b w:val="false"/>
              </w:rPr>
              <w:t>2</w:t>
            </w:r>
          </w:p>
        </w:tc>
      </w:tr>
      <w:tr>
        <w:trPr/>
        <w:tc>
          <w:tcPr>
            <w:tcW w:w="1616" w:type="dxa"/>
            <w:tcBorders/>
            <w:shd w:fill="CCEEFF" w:val="clear"/>
            <w:vAlign w:val="center"/>
          </w:tcPr>
          <w:p>
            <w:pPr>
              <w:pStyle w:val="TableContents"/>
              <w:bidi w:val="0"/>
              <w:spacing w:before="0" w:after="283"/>
              <w:jc w:val="both"/>
              <w:rPr>
                <w:caps/>
              </w:rPr>
            </w:pPr>
            <w:r>
              <w:rPr>
                <w:caps/>
              </w:rPr>
              <w:t> </w:t>
            </w:r>
          </w:p>
        </w:tc>
        <w:tc>
          <w:tcPr>
            <w:tcW w:w="5918" w:type="dxa"/>
            <w:tcBorders/>
            <w:shd w:fill="CCEEFF" w:val="clear"/>
            <w:vAlign w:val="center"/>
          </w:tcPr>
          <w:p>
            <w:pPr>
              <w:pStyle w:val="TableContents"/>
              <w:bidi w:val="0"/>
              <w:spacing w:before="0" w:after="283"/>
              <w:jc w:val="both"/>
              <w:rPr>
                <w:caps/>
              </w:rPr>
            </w:pPr>
            <w:r>
              <w:rPr>
                <w:caps/>
              </w:rPr>
              <w:t> </w:t>
            </w:r>
          </w:p>
        </w:tc>
        <w:tc>
          <w:tcPr>
            <w:tcW w:w="410" w:type="dxa"/>
            <w:tcBorders/>
            <w:shd w:fill="CCEEFF" w:val="clear"/>
            <w:vAlign w:val="center"/>
          </w:tcPr>
          <w:p>
            <w:pPr>
              <w:pStyle w:val="TableContents"/>
              <w:bidi w:val="0"/>
              <w:spacing w:before="0" w:after="283"/>
              <w:jc w:val="center"/>
              <w:rPr>
                <w:caps/>
              </w:rPr>
            </w:pPr>
            <w:r>
              <w:rPr>
                <w:caps/>
              </w:rPr>
              <w:t> </w:t>
            </w:r>
          </w:p>
        </w:tc>
      </w:tr>
      <w:tr>
        <w:trPr/>
        <w:tc>
          <w:tcPr>
            <w:tcW w:w="7534" w:type="dxa"/>
            <w:gridSpan w:val="2"/>
            <w:tcBorders/>
            <w:shd w:fill="FFFFFF" w:val="clear"/>
            <w:vAlign w:val="center"/>
          </w:tcPr>
          <w:p>
            <w:pPr>
              <w:pStyle w:val="TableContents"/>
              <w:bidi w:val="0"/>
              <w:spacing w:before="0" w:after="283"/>
              <w:jc w:val="both"/>
              <w:rPr>
                <w:b w:val="false"/>
                <w:caps/>
              </w:rPr>
            </w:pPr>
            <w:r>
              <w:rPr>
                <w:b w:val="false"/>
                <w:caps/>
              </w:rPr>
              <w:t>Article 3 FORM AND TERMS OF THE NOTES</w:t>
            </w:r>
          </w:p>
        </w:tc>
        <w:tc>
          <w:tcPr>
            <w:tcW w:w="410" w:type="dxa"/>
            <w:tcBorders/>
            <w:shd w:fill="FFFFFF" w:val="clear"/>
            <w:vAlign w:val="center"/>
          </w:tcPr>
          <w:p>
            <w:pPr>
              <w:pStyle w:val="TableContents"/>
              <w:bidi w:val="0"/>
              <w:spacing w:before="0" w:after="283"/>
              <w:jc w:val="center"/>
              <w:rPr>
                <w:b w:val="false"/>
                <w:caps/>
              </w:rPr>
            </w:pPr>
            <w:r>
              <w:rPr>
                <w:b w:val="false"/>
                <w:caps/>
              </w:rPr>
              <w:t>6</w:t>
            </w:r>
          </w:p>
        </w:tc>
      </w:tr>
      <w:tr>
        <w:trPr/>
        <w:tc>
          <w:tcPr>
            <w:tcW w:w="1616" w:type="dxa"/>
            <w:tcBorders/>
            <w:shd w:fill="CCEEFF" w:val="clear"/>
            <w:vAlign w:val="center"/>
          </w:tcPr>
          <w:p>
            <w:pPr>
              <w:pStyle w:val="TableContents"/>
              <w:bidi w:val="0"/>
              <w:spacing w:before="0" w:after="283"/>
              <w:jc w:val="both"/>
              <w:rPr>
                <w:caps/>
              </w:rPr>
            </w:pPr>
            <w:r>
              <w:rPr>
                <w:caps/>
              </w:rPr>
              <w:t> </w:t>
            </w:r>
          </w:p>
        </w:tc>
        <w:tc>
          <w:tcPr>
            <w:tcW w:w="5918" w:type="dxa"/>
            <w:tcBorders/>
            <w:shd w:fill="CCEEFF" w:val="clear"/>
            <w:vAlign w:val="center"/>
          </w:tcPr>
          <w:p>
            <w:pPr>
              <w:pStyle w:val="TableContents"/>
              <w:bidi w:val="0"/>
              <w:spacing w:before="0" w:after="283"/>
              <w:jc w:val="both"/>
              <w:rPr>
                <w:caps/>
              </w:rPr>
            </w:pPr>
            <w:r>
              <w:rPr>
                <w:caps/>
              </w:rPr>
              <w:t> </w:t>
            </w:r>
          </w:p>
        </w:tc>
        <w:tc>
          <w:tcPr>
            <w:tcW w:w="410" w:type="dxa"/>
            <w:tcBorders/>
            <w:shd w:fill="CCEEFF" w:val="clear"/>
            <w:vAlign w:val="center"/>
          </w:tcPr>
          <w:p>
            <w:pPr>
              <w:pStyle w:val="TableContents"/>
              <w:bidi w:val="0"/>
              <w:spacing w:before="0" w:after="283"/>
              <w:ind w:left="0" w:right="0" w:hanging="0"/>
              <w:jc w:val="center"/>
              <w:rPr>
                <w:caps/>
              </w:rPr>
            </w:pPr>
            <w:r>
              <w:rPr>
                <w:caps/>
              </w:rPr>
              <w:t> </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3.01.</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Form and Dating.</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6</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3.02.</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Terms of the Notes.</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7</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3.03.</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Optional Redemption.</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8</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3.04.</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Repurchase of Notes upon a Change of Control.</w:t>
            </w:r>
          </w:p>
        </w:tc>
        <w:tc>
          <w:tcPr>
            <w:tcW w:w="410" w:type="dxa"/>
            <w:tcBorders/>
            <w:shd w:fill="CCEEFF" w:val="clear"/>
            <w:vAlign w:val="center"/>
          </w:tcPr>
          <w:p>
            <w:pPr>
              <w:pStyle w:val="TableContents"/>
              <w:bidi w:val="0"/>
              <w:spacing w:before="0" w:after="283"/>
              <w:jc w:val="center"/>
              <w:rPr>
                <w:b w:val="false"/>
              </w:rPr>
            </w:pPr>
            <w:r>
              <w:rPr>
                <w:b w:val="false"/>
              </w:rPr>
              <w:t>9</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rFonts w:ascii="Times New Roman;Times;Serif" w:hAnsi="Times New Roman;Times;Serif"/>
                <w:b/>
                <w:caps/>
              </w:rPr>
              <w:t>Article 4</w:t>
            </w:r>
            <w:r>
              <w:rPr>
                <w:b w:val="false"/>
                <w:caps/>
              </w:rPr>
              <w:t xml:space="preserve"> CERTAIN COVENANTS</w:t>
            </w:r>
          </w:p>
        </w:tc>
        <w:tc>
          <w:tcPr>
            <w:tcW w:w="410" w:type="dxa"/>
            <w:tcBorders/>
            <w:shd w:fill="CCEEFF" w:val="clear"/>
            <w:vAlign w:val="center"/>
          </w:tcPr>
          <w:p>
            <w:pPr>
              <w:pStyle w:val="TableContents"/>
              <w:bidi w:val="0"/>
              <w:spacing w:before="0" w:after="283"/>
              <w:jc w:val="center"/>
              <w:rPr>
                <w:b w:val="false"/>
                <w:caps/>
              </w:rPr>
            </w:pPr>
            <w:r>
              <w:rPr>
                <w:b w:val="false"/>
                <w:caps/>
              </w:rPr>
              <w:t>11</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4.01.</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Restrictions on Secured Debt.</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11</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4.02.</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Restrictions on Sale and Leaseback Transactions.</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14</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4.03.</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Subsidiary Guarantors</w:t>
            </w:r>
          </w:p>
        </w:tc>
        <w:tc>
          <w:tcPr>
            <w:tcW w:w="410" w:type="dxa"/>
            <w:tcBorders/>
            <w:shd w:fill="CCEEFF" w:val="clear"/>
            <w:vAlign w:val="center"/>
          </w:tcPr>
          <w:p>
            <w:pPr>
              <w:pStyle w:val="TableContents"/>
              <w:bidi w:val="0"/>
              <w:spacing w:before="0" w:after="283"/>
              <w:jc w:val="center"/>
              <w:rPr>
                <w:b w:val="false"/>
              </w:rPr>
            </w:pPr>
            <w:r>
              <w:rPr>
                <w:b w:val="false"/>
              </w:rPr>
              <w:t>14</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rFonts w:ascii="Times New Roman;Times;Serif" w:hAnsi="Times New Roman;Times;Serif"/>
                <w:b/>
                <w:caps/>
              </w:rPr>
              <w:t>Article 5</w:t>
            </w:r>
            <w:r>
              <w:rPr>
                <w:b w:val="false"/>
                <w:caps/>
              </w:rPr>
              <w:t xml:space="preserve"> events of default</w:t>
            </w:r>
          </w:p>
        </w:tc>
        <w:tc>
          <w:tcPr>
            <w:tcW w:w="410" w:type="dxa"/>
            <w:tcBorders/>
            <w:shd w:fill="CCEEFF" w:val="clear"/>
            <w:vAlign w:val="center"/>
          </w:tcPr>
          <w:p>
            <w:pPr>
              <w:pStyle w:val="TableContents"/>
              <w:bidi w:val="0"/>
              <w:spacing w:before="0" w:after="283"/>
              <w:jc w:val="center"/>
              <w:rPr>
                <w:b w:val="false"/>
                <w:caps/>
              </w:rPr>
            </w:pPr>
            <w:r>
              <w:rPr>
                <w:b w:val="false"/>
                <w:caps/>
              </w:rPr>
              <w:t>15</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5.01.</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Events of Default</w:t>
            </w:r>
          </w:p>
        </w:tc>
        <w:tc>
          <w:tcPr>
            <w:tcW w:w="410" w:type="dxa"/>
            <w:tcBorders/>
            <w:shd w:fill="CCEEFF" w:val="clear"/>
            <w:vAlign w:val="center"/>
          </w:tcPr>
          <w:p>
            <w:pPr>
              <w:pStyle w:val="TableContents"/>
              <w:bidi w:val="0"/>
              <w:spacing w:before="0" w:after="283"/>
              <w:jc w:val="center"/>
              <w:rPr>
                <w:b w:val="false"/>
              </w:rPr>
            </w:pPr>
            <w:r>
              <w:rPr>
                <w:b w:val="false"/>
              </w:rPr>
              <w:t>15</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rFonts w:ascii="Times New Roman;Times;Serif" w:hAnsi="Times New Roman;Times;Serif"/>
                <w:b/>
                <w:caps/>
              </w:rPr>
              <w:t>Article 6</w:t>
            </w:r>
            <w:r>
              <w:rPr>
                <w:b w:val="false"/>
                <w:caps/>
              </w:rPr>
              <w:t xml:space="preserve"> MISCELLANEOUS</w:t>
            </w:r>
          </w:p>
        </w:tc>
        <w:tc>
          <w:tcPr>
            <w:tcW w:w="410" w:type="dxa"/>
            <w:tcBorders/>
            <w:shd w:fill="CCEEFF" w:val="clear"/>
            <w:vAlign w:val="center"/>
          </w:tcPr>
          <w:p>
            <w:pPr>
              <w:pStyle w:val="TableContents"/>
              <w:bidi w:val="0"/>
              <w:spacing w:before="0" w:after="283"/>
              <w:jc w:val="center"/>
              <w:rPr>
                <w:b w:val="false"/>
                <w:caps/>
              </w:rPr>
            </w:pPr>
            <w:r>
              <w:rPr>
                <w:b w:val="false"/>
                <w:caps/>
              </w:rPr>
              <w:t>16</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ind w:left="0" w:right="0" w:hanging="0"/>
              <w:jc w:val="center"/>
              <w:rPr>
                <w:caps/>
              </w:rPr>
            </w:pPr>
            <w:r>
              <w:rPr>
                <w:caps/>
              </w:rPr>
              <w:t> </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6.01.</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Trust Indenture Act Controls.</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16</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6.02.</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New York Law to Govern.</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16</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6.03.</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Counterparts; Signatures</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16</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6.04.</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Severability.</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17</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6.05.</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Ratification.</w:t>
            </w:r>
          </w:p>
        </w:tc>
        <w:tc>
          <w:tcPr>
            <w:tcW w:w="410" w:type="dxa"/>
            <w:tcBorders/>
            <w:shd w:fill="CCEEFF" w:val="clear"/>
            <w:vAlign w:val="center"/>
          </w:tcPr>
          <w:p>
            <w:pPr>
              <w:pStyle w:val="TableContents"/>
              <w:bidi w:val="0"/>
              <w:spacing w:before="0" w:after="283"/>
              <w:ind w:left="0" w:right="0" w:hanging="0"/>
              <w:jc w:val="center"/>
              <w:rPr>
                <w:b w:val="false"/>
              </w:rPr>
            </w:pPr>
            <w:r>
              <w:rPr>
                <w:b w:val="false"/>
              </w:rPr>
              <w:t>17</w:t>
            </w:r>
          </w:p>
        </w:tc>
      </w:tr>
      <w:tr>
        <w:trPr/>
        <w:tc>
          <w:tcPr>
            <w:tcW w:w="1616" w:type="dxa"/>
            <w:tcBorders/>
            <w:shd w:fill="FFFFFF" w:val="clear"/>
            <w:vAlign w:val="center"/>
          </w:tcPr>
          <w:p>
            <w:pPr>
              <w:pStyle w:val="TableContents"/>
              <w:bidi w:val="0"/>
              <w:spacing w:before="0" w:after="283"/>
              <w:ind w:left="0" w:right="0" w:hanging="0"/>
              <w:jc w:val="both"/>
              <w:rPr>
                <w:b w:val="false"/>
              </w:rPr>
            </w:pPr>
            <w:r>
              <w:rPr>
                <w:b w:val="false"/>
              </w:rPr>
              <w:t>Section 6.06.</w:t>
            </w:r>
          </w:p>
        </w:tc>
        <w:tc>
          <w:tcPr>
            <w:tcW w:w="5918" w:type="dxa"/>
            <w:tcBorders/>
            <w:shd w:fill="FFFFFF" w:val="clear"/>
            <w:vAlign w:val="center"/>
          </w:tcPr>
          <w:p>
            <w:pPr>
              <w:pStyle w:val="TableContents"/>
              <w:bidi w:val="0"/>
              <w:spacing w:before="0" w:after="283"/>
              <w:ind w:left="0" w:right="0" w:hanging="0"/>
              <w:jc w:val="both"/>
              <w:rPr>
                <w:b w:val="false"/>
              </w:rPr>
            </w:pPr>
            <w:r>
              <w:rPr>
                <w:b w:val="false"/>
              </w:rPr>
              <w:t>Effectiveness.</w:t>
            </w:r>
          </w:p>
        </w:tc>
        <w:tc>
          <w:tcPr>
            <w:tcW w:w="410" w:type="dxa"/>
            <w:tcBorders/>
            <w:shd w:fill="FFFFFF" w:val="clear"/>
            <w:vAlign w:val="center"/>
          </w:tcPr>
          <w:p>
            <w:pPr>
              <w:pStyle w:val="TableContents"/>
              <w:bidi w:val="0"/>
              <w:spacing w:before="0" w:after="283"/>
              <w:ind w:left="0" w:right="0" w:hanging="0"/>
              <w:jc w:val="center"/>
              <w:rPr>
                <w:b w:val="false"/>
              </w:rPr>
            </w:pPr>
            <w:r>
              <w:rPr>
                <w:b w:val="false"/>
              </w:rPr>
              <w:t>17</w:t>
            </w:r>
          </w:p>
        </w:tc>
      </w:tr>
      <w:tr>
        <w:trPr/>
        <w:tc>
          <w:tcPr>
            <w:tcW w:w="1616" w:type="dxa"/>
            <w:tcBorders/>
            <w:shd w:fill="CCEEFF" w:val="clear"/>
            <w:vAlign w:val="center"/>
          </w:tcPr>
          <w:p>
            <w:pPr>
              <w:pStyle w:val="TableContents"/>
              <w:bidi w:val="0"/>
              <w:spacing w:before="0" w:after="283"/>
              <w:ind w:left="0" w:right="0" w:hanging="0"/>
              <w:jc w:val="both"/>
              <w:rPr>
                <w:b w:val="false"/>
              </w:rPr>
            </w:pPr>
            <w:r>
              <w:rPr>
                <w:b w:val="false"/>
              </w:rPr>
              <w:t>Section 6.07.</w:t>
            </w:r>
          </w:p>
        </w:tc>
        <w:tc>
          <w:tcPr>
            <w:tcW w:w="5918" w:type="dxa"/>
            <w:tcBorders/>
            <w:shd w:fill="CCEEFF" w:val="clear"/>
            <w:vAlign w:val="center"/>
          </w:tcPr>
          <w:p>
            <w:pPr>
              <w:pStyle w:val="TableContents"/>
              <w:bidi w:val="0"/>
              <w:spacing w:before="0" w:after="283"/>
              <w:ind w:left="0" w:right="0" w:hanging="0"/>
              <w:jc w:val="both"/>
              <w:rPr>
                <w:b w:val="false"/>
              </w:rPr>
            </w:pPr>
            <w:r>
              <w:rPr>
                <w:b w:val="false"/>
              </w:rPr>
              <w:t>Trustee Makes No Representation.</w:t>
            </w:r>
          </w:p>
        </w:tc>
        <w:tc>
          <w:tcPr>
            <w:tcW w:w="410" w:type="dxa"/>
            <w:tcBorders/>
            <w:shd w:fill="CCEEFF" w:val="clear"/>
            <w:vAlign w:val="center"/>
          </w:tcPr>
          <w:p>
            <w:pPr>
              <w:pStyle w:val="TableContents"/>
              <w:bidi w:val="0"/>
              <w:spacing w:before="0" w:after="283"/>
              <w:jc w:val="center"/>
              <w:rPr>
                <w:b w:val="false"/>
              </w:rPr>
            </w:pPr>
            <w:r>
              <w:rPr>
                <w:b w:val="false"/>
              </w:rPr>
              <w:t>17</w:t>
            </w:r>
          </w:p>
        </w:tc>
      </w:tr>
      <w:tr>
        <w:trPr/>
        <w:tc>
          <w:tcPr>
            <w:tcW w:w="1616" w:type="dxa"/>
            <w:tcBorders/>
            <w:shd w:fill="FFFFFF" w:val="clear"/>
            <w:vAlign w:val="center"/>
          </w:tcPr>
          <w:p>
            <w:pPr>
              <w:pStyle w:val="TableContents"/>
              <w:bidi w:val="0"/>
              <w:spacing w:before="0" w:after="283"/>
              <w:jc w:val="both"/>
              <w:rPr>
                <w:caps/>
              </w:rPr>
            </w:pPr>
            <w:r>
              <w:rPr>
                <w:caps/>
              </w:rPr>
              <w:t> </w:t>
            </w:r>
          </w:p>
        </w:tc>
        <w:tc>
          <w:tcPr>
            <w:tcW w:w="5918" w:type="dxa"/>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b w:val="false"/>
                <w:caps/>
              </w:rPr>
              <w:t>EXHIBIT A  Form of 4.950% Note Due 2031</w:t>
            </w:r>
          </w:p>
        </w:tc>
        <w:tc>
          <w:tcPr>
            <w:tcW w:w="410" w:type="dxa"/>
            <w:tcBorders/>
            <w:shd w:fill="CCEEFF" w:val="clear"/>
            <w:vAlign w:val="center"/>
          </w:tcPr>
          <w:p>
            <w:pPr>
              <w:pStyle w:val="TableContents"/>
              <w:bidi w:val="0"/>
              <w:spacing w:before="0" w:after="283"/>
              <w:jc w:val="center"/>
              <w:rPr>
                <w:b w:val="false"/>
                <w:caps/>
              </w:rPr>
            </w:pPr>
            <w:r>
              <w:rPr>
                <w:b w:val="false"/>
                <w:caps/>
              </w:rPr>
              <w:t>A-1</w:t>
            </w:r>
          </w:p>
        </w:tc>
      </w:tr>
      <w:tr>
        <w:trPr/>
        <w:tc>
          <w:tcPr>
            <w:tcW w:w="7534" w:type="dxa"/>
            <w:gridSpan w:val="2"/>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b w:val="false"/>
                <w:caps/>
              </w:rPr>
              <w:t>EXHIBIT B  Form of 5.400% Note Due 2036</w:t>
            </w:r>
          </w:p>
        </w:tc>
        <w:tc>
          <w:tcPr>
            <w:tcW w:w="410" w:type="dxa"/>
            <w:tcBorders/>
            <w:shd w:fill="CCEEFF" w:val="clear"/>
            <w:vAlign w:val="center"/>
          </w:tcPr>
          <w:p>
            <w:pPr>
              <w:pStyle w:val="TableContents"/>
              <w:bidi w:val="0"/>
              <w:spacing w:before="0" w:after="283"/>
              <w:jc w:val="center"/>
              <w:rPr>
                <w:b w:val="false"/>
                <w:caps/>
              </w:rPr>
            </w:pPr>
            <w:r>
              <w:rPr>
                <w:b w:val="false"/>
                <w:caps/>
              </w:rPr>
              <w:t>B-1</w:t>
            </w:r>
          </w:p>
        </w:tc>
      </w:tr>
      <w:tr>
        <w:trPr/>
        <w:tc>
          <w:tcPr>
            <w:tcW w:w="7534" w:type="dxa"/>
            <w:gridSpan w:val="2"/>
            <w:tcBorders/>
            <w:shd w:fill="FFFFFF" w:val="clear"/>
            <w:vAlign w:val="center"/>
          </w:tcPr>
          <w:p>
            <w:pPr>
              <w:pStyle w:val="TableContents"/>
              <w:bidi w:val="0"/>
              <w:spacing w:before="0" w:after="283"/>
              <w:jc w:val="both"/>
              <w:rPr>
                <w:caps/>
              </w:rPr>
            </w:pPr>
            <w:r>
              <w:rPr>
                <w:caps/>
              </w:rPr>
              <w:t> </w:t>
            </w:r>
          </w:p>
        </w:tc>
        <w:tc>
          <w:tcPr>
            <w:tcW w:w="410" w:type="dxa"/>
            <w:tcBorders/>
            <w:shd w:fill="FFFFFF" w:val="clear"/>
            <w:vAlign w:val="center"/>
          </w:tcPr>
          <w:p>
            <w:pPr>
              <w:pStyle w:val="TableContents"/>
              <w:bidi w:val="0"/>
              <w:spacing w:before="0" w:after="283"/>
              <w:jc w:val="center"/>
              <w:rPr>
                <w:caps/>
              </w:rPr>
            </w:pPr>
            <w:r>
              <w:rPr>
                <w:caps/>
              </w:rPr>
              <w:t> </w:t>
            </w:r>
          </w:p>
        </w:tc>
      </w:tr>
      <w:tr>
        <w:trPr/>
        <w:tc>
          <w:tcPr>
            <w:tcW w:w="7534" w:type="dxa"/>
            <w:gridSpan w:val="2"/>
            <w:tcBorders/>
            <w:shd w:fill="CCEEFF" w:val="clear"/>
            <w:vAlign w:val="center"/>
          </w:tcPr>
          <w:p>
            <w:pPr>
              <w:pStyle w:val="TableContents"/>
              <w:bidi w:val="0"/>
              <w:spacing w:before="0" w:after="283"/>
              <w:jc w:val="both"/>
              <w:rPr>
                <w:b w:val="false"/>
                <w:caps/>
              </w:rPr>
            </w:pPr>
            <w:r>
              <w:rPr>
                <w:b w:val="false"/>
                <w:caps/>
              </w:rPr>
              <w:t>EXHIBIT C  Form of Supplemental Indenture</w:t>
            </w:r>
          </w:p>
        </w:tc>
        <w:tc>
          <w:tcPr>
            <w:tcW w:w="410" w:type="dxa"/>
            <w:tcBorders/>
            <w:shd w:fill="CCEEFF" w:val="clear"/>
            <w:vAlign w:val="center"/>
          </w:tcPr>
          <w:p>
            <w:pPr>
              <w:pStyle w:val="TableContents"/>
              <w:bidi w:val="0"/>
              <w:spacing w:before="0" w:after="283"/>
              <w:jc w:val="center"/>
              <w:rPr>
                <w:b w:val="false"/>
                <w:caps/>
              </w:rPr>
            </w:pPr>
            <w:r>
              <w:rPr>
                <w:b w:val="false"/>
                <w:caps/>
              </w:rPr>
              <w:t>C-1</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(this “</w:t>
      </w: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dated as of July 16, 2026, between HEICO Corporation, a Florida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”)and Truist Bank, a North Carolina banking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Trustee executed and delivered an Indenture, dated as of July 16, 2026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and together with this First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to provide for the issuance by the Company from time to time of Securities to be issued in one or more series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9.01 of the Base Indenture provides, among other things, that the Company and the Trustee may enter into indentures supplemental to the Base Indenture, without the consent of any Holders of Securities, to establish the form of any Security, as permitted by the Base Indenture, and to provide for the issuance of the Notes (as defined below), as permitted by the Base Indenture, and to set forth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execute this First Supplemental Indenture, pursuant to Section 2.01 of the Base Indenture, to establish the form and, pursuant to Section 3.01 of the Base Indenture, to provide for the issuance, of $550,000,000 in aggregate principal amount of its 4.950%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and $650,000,000 in aggregate principal amount of its 5.400%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2031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duly authorized the execution and delivery of this First Supplemental Indenture in order to provide for certain supplements to the Indenture which shall only be applicable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requested that the Trustee execute and deliver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necessary to make this First Supplemental Indenture a valid and binding agreement of the Company according to its terms have been done and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stated herein and the purchase of the Notes by the Holders thereof, the Company and the Trustee mutually covenant and agree for the equal and proportionate benefit of the respective Holders from time to time of the Notes as follows:</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APPLICATION OF FIRST SUPPLEMENTAL INDENTURE</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1.01.</w:t>
        <w:tab/>
      </w:r>
      <w:r>
        <w:rPr>
          <w:rFonts w:ascii="Times New Roman;Times;Serif" w:hAnsi="Times New Roman;Times;Serif"/>
          <w:b/>
          <w:i/>
          <w:caps w:val="false"/>
          <w:smallCaps w:val="false"/>
          <w:sz w:val="20"/>
        </w:rPr>
        <w:t>Application of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First Supplemental Indenture, all provisions of this First Supplemental Indenture are expressly and solely for the benefit of the Holders of the Notes, and any such provisions shall not be deemed to apply to any other securities issued under the Base Indenture and shall not be deemed to amend, modify or supplement the Base Indenture for any purpose other than with respect to the Notes. Unless otherwise expressly specified, references in this First Supplemental Indenture to specific Article numbers or Section numbers refer to Articles and Sections contained in this First Supplemental Indenture as they amend or supplement the Base Indenture, and not the Base Indenture or any other document. All Initial Notes and Additional Notes, if any, shall be treated as a single class for all purposes of the Indenture, including waivers, amendments, redemptions and offers to purchase.</w:t>
      </w:r>
    </w:p>
    <w:p>
      <w:pPr>
        <w:pStyle w:val="TextBody"/>
        <w:shd w:fill="FFFFFF" w:val="clear"/>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DEFINITIONS</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2.01.</w:t>
        <w:tab/>
      </w:r>
      <w:r>
        <w:rPr>
          <w:rFonts w:ascii="Times New Roman;Times;Serif" w:hAnsi="Times New Roman;Times;Serif"/>
          <w:b/>
          <w:i/>
          <w:caps w:val="false"/>
          <w:smallCaps w:val="false"/>
          <w:sz w:val="20"/>
        </w:rPr>
        <w:t>Certain Terms Defined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First Supplemental Indenture, all capitalized terms used but not defined herein shall have the meanings ascribed to such terms in the Base Indenture, as amended hereby.</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2.02.</w:t>
        <w:tab/>
      </w:r>
      <w:r>
        <w:rPr>
          <w:rFonts w:ascii="Times New Roman;Times;Serif" w:hAnsi="Times New Roman;Times;Serif"/>
          <w:b/>
          <w:i/>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benefit of the Holders of the Notes, the following terms shall have the meanings set forth in this Section 2.02: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2031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2036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Attributable Debt</w:t>
      </w:r>
      <w:r>
        <w:rPr>
          <w:rFonts w:ascii="Times New Roman;Times;Serif" w:hAnsi="Times New Roman;Times;Serif"/>
          <w:b w:val="false"/>
          <w:i w:val="false"/>
          <w:caps w:val="false"/>
          <w:smallCaps w:val="false"/>
          <w:sz w:val="20"/>
        </w:rPr>
        <w:t>” in the context of a Sale and Leaseback Transaction means, as of any particular time, what the Company determines in good faith to be the present value, discounted at the interest rate implicit in the lease involved in such Sale and Leaseback Transaction, of the lessee’s obligation under the lease for rental payments during the remaining term of the lease, as it may be extended. For the purposes of this definition, any amounts the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has the meaning specified in recitals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more series of related transactions, of all or substantially all of the Company’s properties or assets and the properties or assets of its Subsidiaries, taken as a whole, to any “person” or “group” (as those terms are used in Section 13(d)(3) of the Exchange Act), other than the Company or one of its Subsidiaries; (2) the consummation of any transaction (including, without limitation, any merger or consolidation) the result of which is that any “person” or “group” (as those terms are used in Section 13(d)(3) of the Exchange Act) becomes the “beneficial owner” (as defined in Rules 13d-3 and 13d-5 of the Exchange Act), directly or indirectly, of the Company’s Voting Stock representing a majority of the voting power of our then outstanding Voting Stock; (3) the Company consolidates with, or merges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Voting Stock outstanding immediately prior to such transaction constitutes, or is converted into or exchanged for, Voting Stock representing a majority of the voting power of the Voting Stock of the surviving Person immediately after giving effect to such transaction; or (4) the adoption by the Company’s stockholders of a plan relating to the Company’s liquidation or dissolution. Notwithstanding the foregoing, a transaction (or series of related transactions)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(as those terms are used in Section 13(d)(3) of the Exchange Act) (other than a holding company satisfying the requirements of this sentence) is the beneficial owner (as defined in Rules 13d-3 and 13d-5 of the Exchange Act), directly or indirectly, of more than 50% of the Voting Stock of such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Offer</w:t>
      </w:r>
      <w:r>
        <w:rPr>
          <w:rFonts w:ascii="Times New Roman;Times;Serif" w:hAnsi="Times New Roman;Times;Serif"/>
          <w:b w:val="false"/>
          <w:i w:val="false"/>
          <w:caps w:val="false"/>
          <w:smallCaps w:val="false"/>
          <w:sz w:val="20"/>
        </w:rPr>
        <w:t>” has the meaning set forth in Section 3.04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Payment</w:t>
      </w:r>
      <w:r>
        <w:rPr>
          <w:rFonts w:ascii="Times New Roman;Times;Serif" w:hAnsi="Times New Roman;Times;Serif"/>
          <w:b w:val="false"/>
          <w:i w:val="false"/>
          <w:caps w:val="false"/>
          <w:smallCaps w:val="false"/>
          <w:sz w:val="20"/>
        </w:rPr>
        <w:t>” has the meaning set forth in Section 3.04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Payment Date</w:t>
      </w:r>
      <w:r>
        <w:rPr>
          <w:rFonts w:ascii="Times New Roman;Times;Serif" w:hAnsi="Times New Roman;Times;Serif"/>
          <w:b w:val="false"/>
          <w:i w:val="false"/>
          <w:caps w:val="false"/>
          <w:smallCaps w:val="false"/>
          <w:sz w:val="20"/>
        </w:rPr>
        <w:t>” has the meaning set forth in Section 3.04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Triggering Event</w:t>
      </w:r>
      <w:r>
        <w:rPr>
          <w:rFonts w:ascii="Times New Roman;Times;Serif" w:hAnsi="Times New Roman;Times;Serif"/>
          <w:b w:val="false"/>
          <w:i w:val="false"/>
          <w:caps w:val="false"/>
          <w:smallCaps w:val="false"/>
          <w:sz w:val="20"/>
        </w:rPr>
        <w:t>” means, with respect to a series of the Notes, the rating of the Notes is lowered by at least two of the three Rating Agencies below Investment Grade on any date during the period (the “</w:t>
      </w:r>
      <w:r>
        <w:rPr>
          <w:rFonts w:ascii="Times New Roman;Times;Serif" w:hAnsi="Times New Roman;Times;Serif"/>
          <w:b/>
          <w:i w:val="false"/>
          <w:caps w:val="false"/>
          <w:smallCaps w:val="false"/>
          <w:sz w:val="20"/>
        </w:rPr>
        <w:t>Trigger Period</w:t>
      </w:r>
      <w:r>
        <w:rPr>
          <w:rFonts w:ascii="Times New Roman;Times;Serif" w:hAnsi="Times New Roman;Times;Serif"/>
          <w:b w:val="false"/>
          <w:i w:val="false"/>
          <w:caps w:val="false"/>
          <w:smallCaps w:val="false"/>
          <w:sz w:val="20"/>
        </w:rPr>
        <w:t>”) commencing on the earlier of (a) the occurrence of a Change of Control and (b)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a Change of Control Triggering Event will not be deemed to have occurred in respect of a particular Change of Control if each applicable Rating Agency making the reduction in rating does not publicly announce or confirm or inform the Trustee at the Company’s or the Trustee’s request that the reduction was the result, in whole or in part, of any event or circumstance comprised of or arising as a result of, or in respect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Change of Control Triggering Event will be deemed to have occurred in connection with any particular Change of Control unless and until such Change of Control has actually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Tangible Assets</w:t>
      </w:r>
      <w:r>
        <w:rPr>
          <w:rFonts w:ascii="Times New Roman;Times;Serif" w:hAnsi="Times New Roman;Times;Serif"/>
          <w:b w:val="false"/>
          <w:i w:val="false"/>
          <w:caps w:val="false"/>
          <w:smallCaps w:val="false"/>
          <w:sz w:val="20"/>
        </w:rPr>
        <w:t>” means, as of any particular time, the total amount of assets minus: (a) all applicable reserves; (b) all current liabilities (excluding any liabilities which are by their terms extendible or renewable at the option of the obligor to a time more than 12 months after the time as of which the amount thereof is being computed and excluding current maturities of long-term indebtedness); and (c) all goodwill, trade names, trademarks, patents, unamortized debt discount and expense and other like intangible assets, all as shown in the audited consolidated balance sheet of the Company and subsidiaries contained in the Company’s then most recent annual report to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has the meaning specified in Section 3.01(c) of this First Supplemental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Indenture</w:t>
      </w:r>
      <w:r>
        <w:rPr>
          <w:rFonts w:ascii="Times New Roman;Times;Serif" w:hAnsi="Times New Roman;Times;Serif"/>
          <w:b w:val="false"/>
          <w:i w:val="false"/>
          <w:caps w:val="false"/>
          <w:smallCaps w:val="false"/>
          <w:sz w:val="20"/>
        </w:rPr>
        <w:t>” means that certain Indenture dated as of July 27, 2023 between the Company, as Issuer, and Truist Bank, as Trustee, as Supplemented by that certain First Supplemental Indenture dated as of July 27, 2023, as may be further amended, restated or supplemented from time to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Senior Notes</w:t>
      </w:r>
      <w:r>
        <w:rPr>
          <w:rFonts w:ascii="Times New Roman;Times;Serif" w:hAnsi="Times New Roman;Times;Serif"/>
          <w:b w:val="false"/>
          <w:i w:val="false"/>
          <w:caps w:val="false"/>
          <w:smallCaps w:val="false"/>
          <w:sz w:val="20"/>
        </w:rPr>
        <w:t>” means the 5.250% Notes due 2028 and the 5.350% Notes due 2033 issued by the Company under the Existing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Funded Debt</w:t>
      </w:r>
      <w:r>
        <w:rPr>
          <w:rFonts w:ascii="Times New Roman;Times;Serif" w:hAnsi="Times New Roman;Times;Serif"/>
          <w:b w:val="false"/>
          <w:i w:val="false"/>
          <w:caps w:val="false"/>
          <w:smallCaps w:val="false"/>
          <w:sz w:val="20"/>
        </w:rPr>
        <w:t>” means all indebtedness for money borrowed which by its terms matures more than 12 months after the time of the computation of this amount or which is extendible or renewable at the option of the obligor on this indebtedness to a time more than 12 months after the time of the computation of this amount or which is classified, in accordance with U.S.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has the meaning specified in Section 3.01(c)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guarantee by any Guarantor of the Company’s obligations under the Indenture and this First Supplemental Indenture with respect to a series of Notes, executed pursuant to the provisions of the Indenture and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means any Subsidiary of the Company that becomes a guarantor pursuant to the provisions of the Indenture and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2031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2036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 has the meaning specified in Section 3.02(b)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February 1 and August 1, commencing on February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Grade</w:t>
      </w:r>
      <w:r>
        <w:rPr>
          <w:rFonts w:ascii="Times New Roman;Times;Serif" w:hAnsi="Times New Roman;Times;Serif"/>
          <w:b w:val="false"/>
          <w:i w:val="false"/>
          <w:caps w:val="false"/>
          <w:smallCaps w:val="false"/>
          <w:sz w:val="20"/>
        </w:rPr>
        <w:t>” means a rating of Baa3 or better by Moody’s (or its equivalent under any successor rating category of Moody’s) and a rating of BBB- or better by S&amp;P and Fitch (or its equivalent under any successor rating category of S&amp;P or Fitch, as applicable), and the equivalent investment grade credit rating from any replacement Rating Agency or Rating Agencies selected by the Company under the circumstances permitting the Company to select a replacement Rating Agency and in the manner for selecting a replacement Rating Agency, in each case as set forth in the definition of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the date on which the Initial Notes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a subsidiary of Moody’s Corporation,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has the meaning specified in the recitals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means (i) with respect to the 2031 Notes, July 1, 2031 (the “</w:t>
      </w:r>
      <w:r>
        <w:rPr>
          <w:rFonts w:ascii="Times New Roman;Times;Serif" w:hAnsi="Times New Roman;Times;Serif"/>
          <w:b/>
          <w:i w:val="false"/>
          <w:caps w:val="false"/>
          <w:smallCaps w:val="false"/>
          <w:sz w:val="20"/>
        </w:rPr>
        <w:t>2031 Par Call Date</w:t>
      </w:r>
      <w:r>
        <w:rPr>
          <w:rFonts w:ascii="Times New Roman;Times;Serif" w:hAnsi="Times New Roman;Times;Serif"/>
          <w:b w:val="false"/>
          <w:i w:val="false"/>
          <w:caps w:val="false"/>
          <w:smallCaps w:val="false"/>
          <w:sz w:val="20"/>
        </w:rPr>
        <w:t>”) and (ii) with respect to the 2036 Notes, May 1, 2036 (the “</w:t>
      </w:r>
      <w:r>
        <w:rPr>
          <w:rFonts w:ascii="Times New Roman;Times;Serif" w:hAnsi="Times New Roman;Times;Serif"/>
          <w:b/>
          <w:i w:val="false"/>
          <w:caps w:val="false"/>
          <w:smallCaps w:val="false"/>
          <w:sz w:val="20"/>
        </w:rPr>
        <w:t>2036 Par Call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Property</w:t>
      </w:r>
      <w:r>
        <w:rPr>
          <w:rFonts w:ascii="Times New Roman;Times;Serif" w:hAnsi="Times New Roman;Times;Serif"/>
          <w:b w:val="false"/>
          <w:i w:val="false"/>
          <w:caps w:val="false"/>
          <w:smallCaps w:val="false"/>
          <w:sz w:val="20"/>
        </w:rPr>
        <w:t>” means any plant, warehouse, office building, facility or parcel of real property owned by the Company or any Restricted Subsidiary which is located within the United States and has a gross book value in excess of 2% of Consolidated Net Tangible Assets at the time of determination, except for any such plant, warehouse, office building, facility or parcel of real property or any portion of such plant, warehouse, office building, facility or parcel of real property which, in the opinion of the Company’s board of directors, is not of material importance to the total business conducted by us and our Restricted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Rating Agency</w:t>
      </w:r>
      <w:r>
        <w:rPr>
          <w:rFonts w:ascii="Times New Roman;Times;Serif" w:hAnsi="Times New Roman;Times;Serif"/>
          <w:b w:val="false"/>
          <w:i w:val="false"/>
          <w:caps w:val="false"/>
          <w:smallCaps w:val="false"/>
          <w:sz w:val="20"/>
        </w:rPr>
        <w:t>” means each of Fitch, Moody’s and S&amp;P; provided, that if Fitch, Moody’s or S&amp;P ceases to provide rating services to issuers or investors, the Company may appoint another “nationally recognized statistical rating organization” within the meaning of Section 3(a)(62) under the Exchange Act as a replacement for such Rating Agency; provided further, that the Company give notice of such appointment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has the meaning specified in Section 3.03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has the meaning specified in Section 3.03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and Leaseback Transaction</w:t>
      </w:r>
      <w:r>
        <w:rPr>
          <w:rFonts w:ascii="Times New Roman;Times;Serif" w:hAnsi="Times New Roman;Times;Serif"/>
          <w:b w:val="false"/>
          <w:i w:val="false"/>
          <w:caps w:val="false"/>
          <w:smallCaps w:val="false"/>
          <w:sz w:val="20"/>
        </w:rPr>
        <w:t>” has the meaning specified in Section 4.02 of this 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Ratings Services, a Standard &amp; Poor’s Financial Services LLC business,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Company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applicable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applicable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applicable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AND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3.01.</w:t>
        <w:tab/>
      </w:r>
      <w:r>
        <w:rPr>
          <w:rFonts w:ascii="Times New Roman;Times;Serif" w:hAnsi="Times New Roman;Times;Serif"/>
          <w:b/>
          <w:i/>
          <w:caps w:val="false"/>
          <w:smallCaps w:val="false"/>
          <w:sz w:val="20"/>
        </w:rPr>
        <w:t>Form and Dating.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and the Trustee’s certificate of authentication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in the case of the 2031 Notes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in the case of the 2036 Notes, attached hereto, which are hereby incorporated into this First Supplemental Indenture. The Notes shall be executed on behalf of the Company by a Senior Officer of the Company. Each Note shall be dated the date of its authentication. The Notes and any beneficial interest in the Notes shall be in minimum denominations of $2,000 and integral multiples of $1,000 in excess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and notations contained in the Notes shall constitute, and are hereby expressly made, a part of the Indenture, and the Company and the Trustee, by their execution and delivery of this First Supplemental Indenture, expressly agree to such terms and provisions and to be bound thereby.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Notes shall be issued initially in the form of fully registered Global Securities (the “</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which shall be deposited on behalf of the purchasers of the Notes represented thereby with The Depository Trust Company, New York, New York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and registered in the name of Cede &amp; Co., the Depositary’s nominee, duly executed by the Company and authenticated by the Trustee.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Book-Entry Provisions</w:t>
      </w:r>
      <w:r>
        <w:rPr>
          <w:rFonts w:ascii="Times New Roman;Times;Serif" w:hAnsi="Times New Roman;Times;Serif"/>
          <w:b w:val="false"/>
          <w:i w:val="false"/>
          <w:caps w:val="false"/>
          <w:smallCaps w:val="false"/>
          <w:sz w:val="20"/>
        </w:rPr>
        <w:t>. This Section 3.01(d) shall apply only to the Global Notes deposited with or on behalf of the Depositary. The Company shall execute and the Trustee shall, in accordance with this Section 3.01(d), authenticate and deliver the Global Notes that shall be registered in the name of the Depositary or the nominee of the Depositary and shall be delivered by the Trustee to the Depositary or pursuant to the Depositary’s instructions.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The Company initially appoints the Trustee as the Security Registrar and Paying Agent for the payment of the principal of (and premium, if any) and interest on the Notes and the office of the Trustee at Truist Bank, in the contiguous United States, which shall initially be the Corporate Trust Office, is hereby designated as the Place of Payment where the Notes may be presented for payment.</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3.02.</w:t>
        <w:tab/>
      </w:r>
      <w:r>
        <w:rPr>
          <w:rFonts w:ascii="Times New Roman;Times;Serif" w:hAnsi="Times New Roman;Times;Serif"/>
          <w:b/>
          <w:i/>
          <w:caps w:val="false"/>
          <w:smallCaps w:val="false"/>
          <w:sz w:val="20"/>
        </w:rPr>
        <w:t>Terms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relating to each series of the Notes are hereby established: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Title</w:t>
      </w:r>
      <w:r>
        <w:rPr>
          <w:rFonts w:ascii="Times New Roman;Times;Serif" w:hAnsi="Times New Roman;Times;Serif"/>
          <w:b w:val="false"/>
          <w:i w:val="false"/>
          <w:caps w:val="false"/>
          <w:smallCaps w:val="false"/>
          <w:sz w:val="20"/>
        </w:rPr>
        <w:t>. The 2031 Notes shall constitute a series of Securities having the title “4.950% Notes due 2031” and the 2036 Notes shall constitute a series of Securities having the title “5.400% Notes due 2036.”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Principal Amount</w:t>
      </w:r>
      <w:r>
        <w:rPr>
          <w:rFonts w:ascii="Times New Roman;Times;Serif" w:hAnsi="Times New Roman;Times;Serif"/>
          <w:b w:val="false"/>
          <w:i w:val="false"/>
          <w:caps w:val="false"/>
          <w:smallCaps w:val="false"/>
          <w:sz w:val="20"/>
        </w:rPr>
        <w:t>. Except for Notes authenticated and delivered upon registration of, transfer of, or in exchange for, or in lieu of, other Notes pursuant to Sections 3.04, 3.05, 3.06, 9.06 or 11.07 of the Base Indenture, the aggregate principal amount of the 2031 Notes that may be initially authenticated and delivered under the Indenture (the “</w:t>
      </w:r>
      <w:r>
        <w:rPr>
          <w:rFonts w:ascii="Times New Roman;Times;Serif" w:hAnsi="Times New Roman;Times;Serif"/>
          <w:b/>
          <w:i w:val="false"/>
          <w:caps w:val="false"/>
          <w:smallCaps w:val="false"/>
          <w:sz w:val="20"/>
        </w:rPr>
        <w:t>Initial 2031 Notes</w:t>
      </w:r>
      <w:r>
        <w:rPr>
          <w:rFonts w:ascii="Times New Roman;Times;Serif" w:hAnsi="Times New Roman;Times;Serif"/>
          <w:b w:val="false"/>
          <w:i w:val="false"/>
          <w:caps w:val="false"/>
          <w:smallCaps w:val="false"/>
          <w:sz w:val="20"/>
        </w:rPr>
        <w:t>”) shall be $550,000,000 and the aggregate principal amount of the 2036 Notes that may be initially authenticated and delivered under the Indenture (the “</w:t>
      </w:r>
      <w:r>
        <w:rPr>
          <w:rFonts w:ascii="Times New Roman;Times;Serif" w:hAnsi="Times New Roman;Times;Serif"/>
          <w:b/>
          <w:i w:val="false"/>
          <w:caps w:val="false"/>
          <w:smallCaps w:val="false"/>
          <w:sz w:val="20"/>
        </w:rPr>
        <w:t>Initial 2036 Notes</w:t>
      </w:r>
      <w:r>
        <w:rPr>
          <w:rFonts w:ascii="Times New Roman;Times;Serif" w:hAnsi="Times New Roman;Times;Serif"/>
          <w:b w:val="false"/>
          <w:i w:val="false"/>
          <w:caps w:val="false"/>
          <w:smallCaps w:val="false"/>
          <w:sz w:val="20"/>
        </w:rPr>
        <w:t>” and, together with the Initial 2031 Notes,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 shall be $650,000,000. The Company may from time to time, without the consent of the Holders of Notes, issue additional Notes with respect to each series of the Notes (in any such case, with respect to the 2031 Notes, the “</w:t>
      </w:r>
      <w:r>
        <w:rPr>
          <w:rFonts w:ascii="Times New Roman;Times;Serif" w:hAnsi="Times New Roman;Times;Serif"/>
          <w:b/>
          <w:i w:val="false"/>
          <w:caps w:val="false"/>
          <w:smallCaps w:val="false"/>
          <w:sz w:val="20"/>
        </w:rPr>
        <w:t>Additional 2031 Notes</w:t>
      </w:r>
      <w:r>
        <w:rPr>
          <w:rFonts w:ascii="Times New Roman;Times;Serif" w:hAnsi="Times New Roman;Times;Serif"/>
          <w:b w:val="false"/>
          <w:i w:val="false"/>
          <w:caps w:val="false"/>
          <w:smallCaps w:val="false"/>
          <w:sz w:val="20"/>
        </w:rPr>
        <w:t>,” and with respect to the 2036 Notes, the “</w:t>
      </w:r>
      <w:r>
        <w:rPr>
          <w:rFonts w:ascii="Times New Roman;Times;Serif" w:hAnsi="Times New Roman;Times;Serif"/>
          <w:b/>
          <w:i w:val="false"/>
          <w:caps w:val="false"/>
          <w:smallCaps w:val="false"/>
          <w:sz w:val="20"/>
        </w:rPr>
        <w:t>Additional 2036 Notes</w:t>
      </w:r>
      <w:r>
        <w:rPr>
          <w:rFonts w:ascii="Times New Roman;Times;Serif" w:hAnsi="Times New Roman;Times;Serif"/>
          <w:b w:val="false"/>
          <w:i w:val="false"/>
          <w:caps w:val="false"/>
          <w:smallCaps w:val="false"/>
          <w:sz w:val="20"/>
        </w:rPr>
        <w:t>” and, the Additional 2031 Notes and the Additional 2036 Notes collectively, the “</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having the same ranking and the same interest rate, Maturity and other terms as the applicable Initial Notes except for the Issue Date and the first payment of interest thereon. Any Additional Notes and the Initial Notes of the same series shall constitute a single series under the Indenture and all references to the Notes of such series shall include the applicable Initial Notes and any applicable Additional Notes unless the context otherwise requires.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The entire outstanding principal amount of the 2031 Notes shall be payable on August 1, 2031 and the entire outstanding principal amount of the 2036 Notes shall be payable on August 1, 2036.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Interest Rate</w:t>
      </w:r>
      <w:r>
        <w:rPr>
          <w:rFonts w:ascii="Times New Roman;Times;Serif" w:hAnsi="Times New Roman;Times;Serif"/>
          <w:b w:val="false"/>
          <w:i w:val="false"/>
          <w:caps w:val="false"/>
          <w:smallCaps w:val="false"/>
          <w:sz w:val="20"/>
        </w:rPr>
        <w:t>. The rate at which the 2031 Notes shall bear interest shall be 4.950% per annum and the rate at which the 2036 Notes shall bear interest shall be 5.400% per annum. The date from which interest shall accrue on the Notes shall be July 16, 2026, or the most recent Interest Payment Date to which interest has been paid or provided for. The Interest Payment Dates for the Notes shall be February 1 and August 1 of each year, beginning February 1, 2027; the interest so payable, and punctually paid or duly provided for, on any Interest Payment Date, will be paid, in immediately available funds, to the Persons in whose names the Notes are registered (which shall initially be the Depositary) at the close of business on the regular record date for such interest, which shall be January 15 or July 15, as the case may be, preceding such Interest Payment Date. Interest shall be computed on the basis of a 360-day year comprised of twelve 30-day months. For so long as the Notes are represented in global form by one or more Global Securities, all payments of principal (and premium, if any) and interest shall be made by wire transfer of immediately available funds to the Depositary or its nominee, as the case may be, as the registered owner of the Global Security representing such Notes. In the event that definitive Notes shall have been issued, all payments of principal (and premium, if any) and interest shall be made by wire transfer of immediately available funds to the accounts of the registered Holders thereof; provided, that the Company may elect to make such payments at the office of the Paying Agent in the contiguous United States; and provided further, that the Company may at its option pay interest by check to the registered address of each Holder of a definitive Note. If an Interest Payment Date falls on a date that is not a Business Day, then interest will be paid on the next day that is a Business Day, and no interest on such payment will accrue for the period from and after such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Currency</w:t>
      </w:r>
      <w:r>
        <w:rPr>
          <w:rFonts w:ascii="Times New Roman;Times;Serif" w:hAnsi="Times New Roman;Times;Serif"/>
          <w:b w:val="false"/>
          <w:i w:val="false"/>
          <w:caps w:val="false"/>
          <w:smallCaps w:val="false"/>
          <w:sz w:val="20"/>
        </w:rPr>
        <w:t>. The currency of denomination of the Notes is United States Dollars. Payment of principal of and interest and premium, if any, on the Notes shall be made in United States Dollars.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Redemption; Sinking Fund</w:t>
      </w:r>
      <w:r>
        <w:rPr>
          <w:rFonts w:ascii="Times New Roman;Times;Serif" w:hAnsi="Times New Roman;Times;Serif"/>
          <w:b w:val="false"/>
          <w:i w:val="false"/>
          <w:caps w:val="false"/>
          <w:smallCaps w:val="false"/>
          <w:sz w:val="20"/>
        </w:rPr>
        <w:t>. Except as provided in this Article 3, the Company shall have no obligation to redeem, purchase or repay the Notes pursuant to any mandatory redemption, sinking fund or analogous provisions or at the option of a Holder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Notes will be senior unsecured obligations of the Company. The payment of the principal of, premium, if any, and interest on the Notes will (i) rank equally in right of payment with all of the Company’s existing and future senior unsecured indebtedness; (ii) rank senior in right of payment to all of the Company’s existing and future subordinated indebtedness; (iii) be structurally subordinated to all liabilities (including trade payables) of the Company’s existing and future subsidiaries that do not guarantee the notes; and (iv) be effectively subordinated to the Company’s existing and future secured indebtedness to the extent of the value of the collateral securing such indebtedness.</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3.03.</w:t>
        <w:tab/>
      </w:r>
      <w:r>
        <w:rPr>
          <w:rFonts w:ascii="Times New Roman;Times;Serif" w:hAnsi="Times New Roman;Times;Serif"/>
          <w:b/>
          <w:i/>
          <w:caps w:val="false"/>
          <w:smallCaps w:val="false"/>
          <w:sz w:val="20"/>
        </w:rPr>
        <w:t>Optional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the Company may redeem the Notes at its option, in whole or in part, at any time and from time to time, at a Redemption Price (the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(expressed as a percentage of principal amount and rounded to three decimal places) equal to the greater 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2031 Notes, and 15 basis points, in the case of the 2036 Notes less (ii) interest accrued to the applicable date of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principal amount of the Notes to be redeemed, plus, in either case, accrued and unpaid interest thereon to, but excluding, the applicable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applicable Par Call Date, the Company may redeem the Notes, in whole or in part, at any time and from time to time, at a Redemption Price equal to 100% of the principal amount of the Notes being redeemed plus accrued and unpaid interest thereon to, but excluding, the applicable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send by electronic delivery or mail otherwise in accordance with the procedures of the Depositary notice of any redemption at least 10 days but not more than 60 days before the applicable Redemption Date to each Holder of the Notes to be redeemed. Once the notice of redemption is sent, the Notes called for redemption will become due and payable on the Redemption Date and at the applicable Redemption Price, plus accrued and unpaid interest to the applicable Redemption Date, subject to any conditions precedent specified in such notice. If such redemption is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Company shall notify Holders of any such rescission as soon as practicable after we determine that such conditions precedent will not be able to be satisfied or the Company is not able or willing to waive such conditions precedent. In addition, the Company may provide in such notice that payment of the applicable Redemption Price and performance of the Company’s obligations with respect to such redemption may be performed by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of the Notes,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(or another depositary), the redemption of the Notes shall be done in accordance with the policies and procedures of the depositary. The Notes will not be entitled to the benefit of any mandatory redemption or sinking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Notes or portions thereof called for redemption.</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3.04.</w:t>
        <w:tab/>
      </w:r>
      <w:r>
        <w:rPr>
          <w:rFonts w:ascii="Times New Roman;Times;Serif" w:hAnsi="Times New Roman;Times;Serif"/>
          <w:b/>
          <w:i/>
          <w:caps w:val="false"/>
          <w:smallCaps w:val="false"/>
          <w:sz w:val="20"/>
        </w:rPr>
        <w:t>Repurchase of Notes upon a Change of Control.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occurs with respect to the Notes, unless the Company has exercised its right to redeem the Notes as provided in Section 3.03 hereof, each Holder of Notes will have the right to require the Company to make an offer (a “</w:t>
      </w:r>
      <w:r>
        <w:rPr>
          <w:rFonts w:ascii="Times New Roman;Times;Serif" w:hAnsi="Times New Roman;Times;Serif"/>
          <w:b/>
          <w:i w:val="false"/>
          <w:caps w:val="false"/>
          <w:smallCaps w:val="false"/>
          <w:sz w:val="20"/>
        </w:rPr>
        <w:t>Change of Control Offer</w:t>
      </w:r>
      <w:r>
        <w:rPr>
          <w:rFonts w:ascii="Times New Roman;Times;Serif" w:hAnsi="Times New Roman;Times;Serif"/>
          <w:b w:val="false"/>
          <w:i w:val="false"/>
          <w:caps w:val="false"/>
          <w:smallCaps w:val="false"/>
          <w:sz w:val="20"/>
        </w:rPr>
        <w:t>”) to each Holder of a Note to repurchase all or any part (equal to $2,000 or an integral multiple of $1,000 in excess thereof) of that Holder’s Notes on the terms set forth in this Section 3.04 and in the Notes. In a Change of Control Offer, the Company shall offer payment in cash equal to 101% of the aggregate principal amount of Notes repurchased, plus accrued and unpaid interest, if any, on the Notes repurchased to the date of repurchase (a “</w:t>
      </w:r>
      <w:r>
        <w:rPr>
          <w:rFonts w:ascii="Times New Roman;Times;Serif" w:hAnsi="Times New Roman;Times;Serif"/>
          <w:b/>
          <w:i w:val="false"/>
          <w:caps w:val="false"/>
          <w:smallCaps w:val="false"/>
          <w:sz w:val="20"/>
        </w:rPr>
        <w:t>Change of Control Payment</w:t>
      </w:r>
      <w:r>
        <w:rPr>
          <w:rFonts w:ascii="Times New Roman;Times;Serif" w:hAnsi="Times New Roman;Times;Serif"/>
          <w:b w:val="false"/>
          <w:i w:val="false"/>
          <w:caps w:val="false"/>
          <w:smallCaps w:val="false"/>
          <w:sz w:val="20"/>
        </w:rPr>
        <w:t>”). Within 30 days following any Change of Control Triggering Event or, at the Company’s option, prior to any Change of Control, but after public announcement of the transaction that constitutes or may constitute the Change of Control, the Company shall send a notice to Holders of the Notes, describing the transaction that constitutes or may constitute the Change of Control Triggering Event and offering to repurchase the Notes on the date specified in the notice, which date shall be no earlier than 30 days and no later than 60 days from the date such notice is sent (a “</w:t>
      </w:r>
      <w:r>
        <w:rPr>
          <w:rFonts w:ascii="Times New Roman;Times;Serif" w:hAnsi="Times New Roman;Times;Serif"/>
          <w:b/>
          <w:i w:val="false"/>
          <w:caps w:val="false"/>
          <w:smallCaps w:val="false"/>
          <w:sz w:val="20"/>
        </w:rPr>
        <w:t>Change of Control Payment Date</w:t>
      </w:r>
      <w:r>
        <w:rPr>
          <w:rFonts w:ascii="Times New Roman;Times;Serif" w:hAnsi="Times New Roman;Times;Serif"/>
          <w:b w:val="false"/>
          <w:i w:val="false"/>
          <w:caps w:val="false"/>
          <w:smallCaps w:val="false"/>
          <w:sz w:val="20"/>
        </w:rPr>
        <w:t>”), pursuant to the procedures required by the Notes and described in such notice. The notice shall, if sent prior to the date of consummation of the Change of Control, state that the Change of Control Offer is conditioned on the Change of Control occurring on or prior to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Company shall, to the extent lawful:</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19"/>
        <w:gridCol w:w="9949"/>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pPr>
            <w:r>
              <w:rPr/>
              <w:t>(i)</w:t>
            </w:r>
          </w:p>
        </w:tc>
        <w:tc>
          <w:tcPr>
            <w:tcW w:w="9949" w:type="dxa"/>
            <w:tcBorders/>
            <w:shd w:fill="FFFFFF" w:val="clear"/>
            <w:vAlign w:val="center"/>
          </w:tcPr>
          <w:p>
            <w:pPr>
              <w:pStyle w:val="TableContents"/>
              <w:bidi w:val="0"/>
              <w:spacing w:before="0" w:after="283"/>
              <w:jc w:val="both"/>
              <w:rPr/>
            </w:pPr>
            <w:r>
              <w:rPr/>
              <w:t>accept for payment all Notes or portions of Notes properly tendered pursuant to the applicable Change of Control Offer;</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6"/>
        <w:gridCol w:w="990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pPr>
            <w:r>
              <w:rPr/>
              <w:t>(ii)</w:t>
            </w:r>
          </w:p>
        </w:tc>
        <w:tc>
          <w:tcPr>
            <w:tcW w:w="9902" w:type="dxa"/>
            <w:tcBorders/>
            <w:shd w:fill="FFFFFF" w:val="clear"/>
            <w:vAlign w:val="center"/>
          </w:tcPr>
          <w:p>
            <w:pPr>
              <w:pStyle w:val="TableContents"/>
              <w:bidi w:val="0"/>
              <w:spacing w:before="0" w:after="283"/>
              <w:jc w:val="both"/>
              <w:rPr/>
            </w:pPr>
            <w:r>
              <w:rPr/>
              <w:t>deposit with the Paying Agent an amount equal to the Change of Control Payment in respect of all Notes or portions of Notes properly tendered; and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11"/>
        <w:gridCol w:w="9857"/>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11" w:type="dxa"/>
            <w:tcBorders/>
            <w:shd w:fill="FFFFFF" w:val="clear"/>
            <w:vAlign w:val="center"/>
          </w:tcPr>
          <w:p>
            <w:pPr>
              <w:pStyle w:val="TableContents"/>
              <w:bidi w:val="0"/>
              <w:spacing w:before="0" w:after="283"/>
              <w:jc w:val="left"/>
              <w:rPr/>
            </w:pPr>
            <w:r>
              <w:rPr/>
              <w:t>(iii)</w:t>
            </w:r>
          </w:p>
        </w:tc>
        <w:tc>
          <w:tcPr>
            <w:tcW w:w="9857" w:type="dxa"/>
            <w:tcBorders/>
            <w:shd w:fill="FFFFFF" w:val="clear"/>
            <w:vAlign w:val="center"/>
          </w:tcPr>
          <w:p>
            <w:pPr>
              <w:pStyle w:val="TableContents"/>
              <w:bidi w:val="0"/>
              <w:spacing w:before="0" w:after="283"/>
              <w:jc w:val="both"/>
              <w:rPr/>
            </w:pPr>
            <w:r>
              <w:rPr/>
              <w:t>deliver or cause to be delivered to the Trustee the Notes properly accepted together with an Officer’s Certificate stating the aggregate principal amount of Notes or portions of Notes being repurchased.</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be required to make a Change of Control Offer with respect to the Notes upon the occurrence of a Change of Control Triggering Event if a third party makes such an offer in the manner, at the times and otherwise in compliance with the requirements for an offer made by the Company and the third party purchases all Notes properly tendered and not withdrawn under its offer. In addition, the Company shall not repurchase any Notes if there has occurred and is continuing on the Change of Control Payment Date an Event of Default under the Indenture, other than a default in the payment of the Change of Control Payment on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the Company shall comply with those securities laws and regulations and shall not be deemed to have breached its obligations under the Change of Control Offer provisions of the Notes by virtue of any such conflict and compliance.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Holders of not less than 90% in aggregate principal amount of the outstanding Notes validly tender and do not withdraw such Notes in a Change of Control Offer and the Company, or any third party making a Change of Control Offer in lieu of the Company, as described in this Section 3.04, purchases all of the Notes validly tendered and not withdrawn by such Holders, the Company shall have the right, upon not less than 30 nor more than 60 days’ prior notice, given not more than 30 days following such purchase pursuant to the Change of Control Offer described herein, to redeem all Notes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w:t>
      </w:r>
    </w:p>
    <w:p>
      <w:pPr>
        <w:pStyle w:val="TextBody"/>
        <w:shd w:fill="FFFFFF" w:val="clear"/>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CERTAIN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covenants shall be applicable to the Company for so long as any of the Notes are Outstanding. Nothing in this Article will, however, affect the Company’s rights or obligations under any other provision of the Base Indenture or this First Supplemental Indenture.</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4.01.</w:t>
        <w:tab/>
      </w:r>
      <w:r>
        <w:rPr>
          <w:rFonts w:ascii="Times New Roman;Times;Serif" w:hAnsi="Times New Roman;Times;Serif"/>
          <w:b/>
          <w:i/>
          <w:caps w:val="false"/>
          <w:smallCaps w:val="false"/>
          <w:sz w:val="20"/>
        </w:rPr>
        <w:t>Restrictions on Secured Debt.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nor will it permit any Restricted Subsidiary to, create, incur, issue, assume or guarantee any indebtedness for borrowed money (hereinafter called “indebtedness”) secured by a mortgage, security interest, pledge or lien (hereinafter called “mortgage”) on or upon any Principal Property or on any capital stock or indebtedness of any Restricted Subsidiary (whether such Principal Property, capital stock or indebtedness is now owned or hereafter acquired) that owns any Principal Property, whether owned as of the date hereof or acquired after the date hereof, without in any such case ensuring that the Notes (together with, if the Company shall so determine, any other indebtedness created, incurred, issued, assumed or guaranteed by the Company or any Restricted Subsidiary and then existing or thereafter created) shall be secured by such mortgage equally and ratably with (or, at the option of the Company, prior to) such indebtedness, so long as such indebtedness shall be so secured.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4.01(a) shall not, however, apply to any indebtedness secured by any one or more of the following:</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01"/>
        <w:gridCol w:w="613"/>
        <w:gridCol w:w="9491"/>
      </w:tblGrid>
      <w:tr>
        <w:trPr/>
        <w:tc>
          <w:tcPr>
            <w:tcW w:w="10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pPr>
            <w:r>
              <w:rPr/>
              <w:t>(i)</w:t>
            </w:r>
          </w:p>
        </w:tc>
        <w:tc>
          <w:tcPr>
            <w:tcW w:w="9491" w:type="dxa"/>
            <w:tcBorders/>
            <w:shd w:fill="FFFFFF" w:val="clear"/>
            <w:vAlign w:val="center"/>
          </w:tcPr>
          <w:p>
            <w:pPr>
              <w:pStyle w:val="TableContents"/>
              <w:bidi w:val="0"/>
              <w:spacing w:before="0" w:after="283"/>
              <w:jc w:val="both"/>
              <w:rPr/>
            </w:pPr>
            <w:r>
              <w:rPr/>
              <w:t>mortgages existing on the Issue Date;</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20"/>
        <w:gridCol w:w="994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pPr>
            <w:r>
              <w:rPr/>
              <w:t>(ii)</w:t>
            </w:r>
          </w:p>
        </w:tc>
        <w:tc>
          <w:tcPr>
            <w:tcW w:w="9948" w:type="dxa"/>
            <w:tcBorders/>
            <w:shd w:fill="FFFFFF" w:val="clear"/>
            <w:vAlign w:val="center"/>
          </w:tcPr>
          <w:p>
            <w:pPr>
              <w:pStyle w:val="TableContents"/>
              <w:bidi w:val="0"/>
              <w:spacing w:before="0" w:after="283"/>
              <w:jc w:val="both"/>
              <w:rPr/>
            </w:pPr>
            <w:r>
              <w:rPr/>
              <w:t>mortgages of or upon any property acquired, constructed or improved by, or of or upon any capital stock or indebtedness acquired by, the Company or any Restricted Subsidiary after the date hereof to (i) secure the payment of all or any part of the purchase price of such property, capital stock or indebtedness upon the acquisition thereof or (ii) secure indebtedness incurred, assumed or guaranteed for the purpose of financing or refinancing all or any part of the purchase price of such property, capital stock or indebtedness or of the cost of any construction or improvements on such properties, in each case, to the extent that the indebtedness is incurred, assumed or guaranteed prior to or within 365 days after the later of the applicable acquisition, construction or improvement of such property, as the case may be, provided, that in the case of any such acquisition, construction or improvement the mortgage shall not apply to any property, capital stock or indebtedness theretofore owned by the Company or any Restricted Subsidiary, other than, in the case of any such construction or improvement, any theretofore unimproved or substantially unimproved real property on which the property so constructed or the improvement is located;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06"/>
        <w:gridCol w:w="986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06" w:type="dxa"/>
            <w:tcBorders/>
            <w:shd w:fill="FFFFFF" w:val="clear"/>
            <w:vAlign w:val="center"/>
          </w:tcPr>
          <w:p>
            <w:pPr>
              <w:pStyle w:val="TableContents"/>
              <w:bidi w:val="0"/>
              <w:spacing w:before="0" w:after="283"/>
              <w:jc w:val="left"/>
              <w:rPr/>
            </w:pPr>
            <w:r>
              <w:rPr/>
              <w:t>(iii)</w:t>
            </w:r>
          </w:p>
        </w:tc>
        <w:tc>
          <w:tcPr>
            <w:tcW w:w="9862" w:type="dxa"/>
            <w:tcBorders/>
            <w:shd w:fill="FFFFFF" w:val="clear"/>
            <w:vAlign w:val="center"/>
          </w:tcPr>
          <w:p>
            <w:pPr>
              <w:pStyle w:val="TableContents"/>
              <w:bidi w:val="0"/>
              <w:spacing w:before="0" w:after="283"/>
              <w:jc w:val="both"/>
              <w:rPr/>
            </w:pPr>
            <w:r>
              <w:rPr/>
              <w:t>except to the extent created in anticipation of the acquisition of any Person, mortgages of or upon any property, capital stock or indebtedness existing at the time of acquisition thereof by the Company or any Restricted Subsidiary;</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92"/>
        <w:gridCol w:w="9876"/>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92" w:type="dxa"/>
            <w:tcBorders/>
            <w:shd w:fill="FFFFFF" w:val="clear"/>
            <w:vAlign w:val="center"/>
          </w:tcPr>
          <w:p>
            <w:pPr>
              <w:pStyle w:val="TableContents"/>
              <w:bidi w:val="0"/>
              <w:spacing w:before="0" w:after="283"/>
              <w:jc w:val="left"/>
              <w:rPr/>
            </w:pPr>
            <w:r>
              <w:rPr/>
              <w:t>(iv)</w:t>
            </w:r>
          </w:p>
        </w:tc>
        <w:tc>
          <w:tcPr>
            <w:tcW w:w="9876" w:type="dxa"/>
            <w:tcBorders/>
            <w:shd w:fill="FFFFFF" w:val="clear"/>
            <w:vAlign w:val="center"/>
          </w:tcPr>
          <w:p>
            <w:pPr>
              <w:pStyle w:val="TableContents"/>
              <w:bidi w:val="0"/>
              <w:spacing w:before="0" w:after="283"/>
              <w:jc w:val="both"/>
              <w:rPr/>
            </w:pPr>
            <w:r>
              <w:rPr/>
              <w:t>except to the extent created in anticipation of the merger or consolidation with any Person, mortgages of or upon any property of a Person existing at the time such Person is merged with or into or consolidated with the Company or any Restricted Subsidiary or existing at the time of a sale or transfer of all or substantially all of the properties of a Person to the Company or any Restricted Subsidiary;</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5"/>
        <w:gridCol w:w="990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5" w:type="dxa"/>
            <w:tcBorders/>
            <w:shd w:fill="FFFFFF" w:val="clear"/>
            <w:vAlign w:val="center"/>
          </w:tcPr>
          <w:p>
            <w:pPr>
              <w:pStyle w:val="TableContents"/>
              <w:bidi w:val="0"/>
              <w:spacing w:before="0" w:after="283"/>
              <w:jc w:val="left"/>
              <w:rPr/>
            </w:pPr>
            <w:r>
              <w:rPr/>
              <w:t>(v)</w:t>
            </w:r>
          </w:p>
        </w:tc>
        <w:tc>
          <w:tcPr>
            <w:tcW w:w="9903" w:type="dxa"/>
            <w:tcBorders/>
            <w:shd w:fill="FFFFFF" w:val="clear"/>
            <w:vAlign w:val="center"/>
          </w:tcPr>
          <w:p>
            <w:pPr>
              <w:pStyle w:val="TableContents"/>
              <w:bidi w:val="0"/>
              <w:spacing w:before="0" w:after="283"/>
              <w:jc w:val="both"/>
              <w:rPr/>
            </w:pPr>
            <w:r>
              <w:rPr/>
              <w:t>mortgages of or upon any property of, or capital stock or indebtedness of, a Person existing at the time such Person becomes a Restricted Subsidiary;</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33"/>
        <w:gridCol w:w="983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33" w:type="dxa"/>
            <w:tcBorders/>
            <w:shd w:fill="FFFFFF" w:val="clear"/>
            <w:vAlign w:val="center"/>
          </w:tcPr>
          <w:p>
            <w:pPr>
              <w:pStyle w:val="TableContents"/>
              <w:bidi w:val="0"/>
              <w:spacing w:before="0" w:after="283"/>
              <w:jc w:val="left"/>
              <w:rPr/>
            </w:pPr>
            <w:r>
              <w:rPr/>
              <w:t>(vi)</w:t>
            </w:r>
          </w:p>
        </w:tc>
        <w:tc>
          <w:tcPr>
            <w:tcW w:w="9835" w:type="dxa"/>
            <w:tcBorders/>
            <w:shd w:fill="FFFFFF" w:val="clear"/>
            <w:vAlign w:val="center"/>
          </w:tcPr>
          <w:p>
            <w:pPr>
              <w:pStyle w:val="TableContents"/>
              <w:bidi w:val="0"/>
              <w:spacing w:before="0" w:after="283"/>
              <w:jc w:val="both"/>
              <w:rPr/>
            </w:pPr>
            <w:r>
              <w:rPr/>
              <w:t>mortgages to secure indebtedness of any Restricted Subsidiary to the Company or to another Restricted Subsidiary or Subsidiary;</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45"/>
        <w:gridCol w:w="982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45" w:type="dxa"/>
            <w:tcBorders/>
            <w:shd w:fill="FFFFFF" w:val="clear"/>
            <w:vAlign w:val="center"/>
          </w:tcPr>
          <w:p>
            <w:pPr>
              <w:pStyle w:val="TableContents"/>
              <w:bidi w:val="0"/>
              <w:spacing w:before="0" w:after="283"/>
              <w:jc w:val="left"/>
              <w:rPr/>
            </w:pPr>
            <w:r>
              <w:rPr/>
              <w:t>(vii)</w:t>
            </w:r>
          </w:p>
        </w:tc>
        <w:tc>
          <w:tcPr>
            <w:tcW w:w="9823" w:type="dxa"/>
            <w:tcBorders/>
            <w:shd w:fill="FFFFFF" w:val="clear"/>
            <w:vAlign w:val="center"/>
          </w:tcPr>
          <w:p>
            <w:pPr>
              <w:pStyle w:val="TableContents"/>
              <w:bidi w:val="0"/>
              <w:spacing w:before="0" w:after="283"/>
              <w:jc w:val="both"/>
              <w:rPr/>
            </w:pPr>
            <w:r>
              <w:rPr/>
              <w:t>mortgages in favor of the United States of America or any State thereof, or any department, agency or instrumentality or political subdivision of the United States of America or any State thereof, or in favor of any other country or political subdivision, to secure partial, progress, advance or other payments pursuant to any contract or statute or to secure any indebtedness incurred or guaranteed for the purpose of financing or refinancing all or any part of the purchase price of the property, capital stock or indebtedness subject to such mortgages, or the cost of constructing or improving the property subject to such mortgages;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422"/>
        <w:gridCol w:w="9746"/>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422" w:type="dxa"/>
            <w:tcBorders/>
            <w:shd w:fill="FFFFFF" w:val="clear"/>
            <w:vAlign w:val="center"/>
          </w:tcPr>
          <w:p>
            <w:pPr>
              <w:pStyle w:val="TableContents"/>
              <w:bidi w:val="0"/>
              <w:spacing w:before="0" w:after="283"/>
              <w:jc w:val="left"/>
              <w:rPr/>
            </w:pPr>
            <w:r>
              <w:rPr/>
              <w:t>(viii)</w:t>
            </w:r>
          </w:p>
        </w:tc>
        <w:tc>
          <w:tcPr>
            <w:tcW w:w="9746" w:type="dxa"/>
            <w:tcBorders/>
            <w:shd w:fill="FFFFFF" w:val="clear"/>
            <w:vAlign w:val="center"/>
          </w:tcPr>
          <w:p>
            <w:pPr>
              <w:pStyle w:val="TableContents"/>
              <w:bidi w:val="0"/>
              <w:spacing w:before="0" w:after="283"/>
              <w:jc w:val="both"/>
              <w:rPr/>
            </w:pPr>
            <w:r>
              <w:rPr/>
              <w:t>mortgages for taxes not yet due or that are being contested in good faith by appropriate proceedings, provided that adequate reserves with respect thereto are maintained on the Company’s books in conformity with generally accepted accounting principles;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98"/>
        <w:gridCol w:w="987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pPr>
            <w:r>
              <w:rPr/>
              <w:t>(ix)</w:t>
            </w:r>
          </w:p>
        </w:tc>
        <w:tc>
          <w:tcPr>
            <w:tcW w:w="9870" w:type="dxa"/>
            <w:tcBorders/>
            <w:shd w:fill="FFFFFF" w:val="clear"/>
            <w:vAlign w:val="center"/>
          </w:tcPr>
          <w:p>
            <w:pPr>
              <w:pStyle w:val="TableContents"/>
              <w:bidi w:val="0"/>
              <w:spacing w:before="0" w:after="283"/>
              <w:jc w:val="both"/>
              <w:rPr/>
            </w:pPr>
            <w:r>
              <w:rPr/>
              <w:t>mortgages imposed by law, such as carriers’, warehousemen’s, mechanics’, materialmen’s, repairmen’s or other like mortgages arising in the ordinary course of business that are not overdue for a period of more than 30 days or that are being contested in good faith by appropriate proceedings;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49"/>
        <w:gridCol w:w="9919"/>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49" w:type="dxa"/>
            <w:tcBorders/>
            <w:shd w:fill="FFFFFF" w:val="clear"/>
            <w:vAlign w:val="center"/>
          </w:tcPr>
          <w:p>
            <w:pPr>
              <w:pStyle w:val="TableContents"/>
              <w:bidi w:val="0"/>
              <w:spacing w:before="0" w:after="283"/>
              <w:jc w:val="left"/>
              <w:rPr/>
            </w:pPr>
            <w:r>
              <w:rPr/>
              <w:t>(x)</w:t>
            </w:r>
          </w:p>
        </w:tc>
        <w:tc>
          <w:tcPr>
            <w:tcW w:w="9919" w:type="dxa"/>
            <w:tcBorders/>
            <w:shd w:fill="FFFFFF" w:val="clear"/>
            <w:vAlign w:val="center"/>
          </w:tcPr>
          <w:p>
            <w:pPr>
              <w:pStyle w:val="TableContents"/>
              <w:bidi w:val="0"/>
              <w:spacing w:before="0" w:after="283"/>
              <w:jc w:val="both"/>
              <w:rPr/>
            </w:pPr>
            <w:r>
              <w:rPr/>
              <w:t>mortgages to secure the performance of bids, trade contracts, leases, statutory obligations, surety and appeal bonds, performance bonds and other obligations of a like nature incurred in the ordinary course of business;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5"/>
        <w:gridCol w:w="416"/>
        <w:gridCol w:w="9744"/>
      </w:tblGrid>
      <w:tr>
        <w:trPr/>
        <w:tc>
          <w:tcPr>
            <w:tcW w:w="45" w:type="dxa"/>
            <w:tcBorders/>
            <w:shd w:fill="FFFFFF" w:val="clear"/>
            <w:vAlign w:val="center"/>
          </w:tcPr>
          <w:p>
            <w:pPr>
              <w:pStyle w:val="TableContents"/>
              <w:bidi w:val="0"/>
              <w:spacing w:before="0" w:after="283"/>
              <w:jc w:val="left"/>
              <w:rPr>
                <w:sz w:val="4"/>
                <w:szCs w:val="4"/>
              </w:rPr>
            </w:pPr>
            <w:r>
              <w:rPr>
                <w:sz w:val="4"/>
                <w:szCs w:val="4"/>
              </w:rPr>
            </w:r>
          </w:p>
        </w:tc>
        <w:tc>
          <w:tcPr>
            <w:tcW w:w="416" w:type="dxa"/>
            <w:tcBorders/>
            <w:shd w:fill="FFFFFF" w:val="clear"/>
            <w:vAlign w:val="center"/>
          </w:tcPr>
          <w:p>
            <w:pPr>
              <w:pStyle w:val="TableContents"/>
              <w:bidi w:val="0"/>
              <w:spacing w:before="0" w:after="283"/>
              <w:jc w:val="left"/>
              <w:rPr/>
            </w:pPr>
            <w:r>
              <w:rPr/>
              <w:t>(xi)</w:t>
            </w:r>
          </w:p>
        </w:tc>
        <w:tc>
          <w:tcPr>
            <w:tcW w:w="9744" w:type="dxa"/>
            <w:tcBorders/>
            <w:shd w:fill="FFFFFF" w:val="clear"/>
            <w:vAlign w:val="center"/>
          </w:tcPr>
          <w:p>
            <w:pPr>
              <w:pStyle w:val="TableContents"/>
              <w:bidi w:val="0"/>
              <w:spacing w:before="0" w:after="283"/>
              <w:jc w:val="both"/>
              <w:rPr/>
            </w:pPr>
            <w:r>
              <w:rPr/>
              <w:t>mortgages in favor of only the Company or one or more of the Restricted Subsidiaries;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87"/>
        <w:gridCol w:w="9781"/>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87" w:type="dxa"/>
            <w:tcBorders/>
            <w:shd w:fill="FFFFFF" w:val="clear"/>
            <w:vAlign w:val="center"/>
          </w:tcPr>
          <w:p>
            <w:pPr>
              <w:pStyle w:val="TableContents"/>
              <w:bidi w:val="0"/>
              <w:spacing w:before="0" w:after="283"/>
              <w:jc w:val="left"/>
              <w:rPr/>
            </w:pPr>
            <w:r>
              <w:rPr/>
              <w:t>(xii)</w:t>
            </w:r>
          </w:p>
        </w:tc>
        <w:tc>
          <w:tcPr>
            <w:tcW w:w="9781" w:type="dxa"/>
            <w:tcBorders/>
            <w:shd w:fill="FFFFFF" w:val="clear"/>
            <w:vAlign w:val="center"/>
          </w:tcPr>
          <w:p>
            <w:pPr>
              <w:pStyle w:val="TableContents"/>
              <w:bidi w:val="0"/>
              <w:spacing w:before="0" w:after="283"/>
              <w:jc w:val="both"/>
              <w:rPr/>
            </w:pPr>
            <w:r>
              <w:rPr/>
              <w:t>mortgages in favor of the Trustee securing indebtedness owed under the Indenture to the Trustee and granted in accordance with the Indenture;</w:t>
            </w:r>
          </w:p>
        </w:tc>
      </w:tr>
    </w:tbl>
    <w:p>
      <w:pPr>
        <w:pStyle w:val="TextBody"/>
        <w:shd w:fill="FFFFFF" w:val="clear"/>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409"/>
        <w:gridCol w:w="9759"/>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pPr>
            <w:r>
              <w:rPr/>
              <w:t>(xiii)</w:t>
            </w:r>
          </w:p>
        </w:tc>
        <w:tc>
          <w:tcPr>
            <w:tcW w:w="9759" w:type="dxa"/>
            <w:tcBorders/>
            <w:shd w:fill="FFFFFF" w:val="clear"/>
            <w:vAlign w:val="center"/>
          </w:tcPr>
          <w:p>
            <w:pPr>
              <w:pStyle w:val="TableContents"/>
              <w:bidi w:val="0"/>
              <w:spacing w:before="0" w:after="283"/>
              <w:jc w:val="both"/>
              <w:rPr/>
            </w:pPr>
            <w:r>
              <w:rPr/>
              <w:t>mortgages to secure (1) interest rate swap agreements (whether from fixed to floating or from floating to fixed), interest rate cap agreements and interest rate collar agreements; (2) other agreements or arrangements designed to manage interest rates or interest rate risk; (3) other agreements or arrangements designed to protect against fluctuations in currency exchange rates or commodity prices; and (4) other agreements or arrangements designed to protect against fluctuations in equity prices.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458"/>
        <w:gridCol w:w="971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458" w:type="dxa"/>
            <w:tcBorders/>
            <w:shd w:fill="FFFFFF" w:val="clear"/>
            <w:vAlign w:val="center"/>
          </w:tcPr>
          <w:p>
            <w:pPr>
              <w:pStyle w:val="TableContents"/>
              <w:bidi w:val="0"/>
              <w:spacing w:before="0" w:after="283"/>
              <w:jc w:val="left"/>
              <w:rPr/>
            </w:pPr>
            <w:r>
              <w:rPr/>
              <w:t>(xiv)</w:t>
            </w:r>
          </w:p>
        </w:tc>
        <w:tc>
          <w:tcPr>
            <w:tcW w:w="9710" w:type="dxa"/>
            <w:tcBorders/>
            <w:shd w:fill="FFFFFF" w:val="clear"/>
            <w:vAlign w:val="center"/>
          </w:tcPr>
          <w:p>
            <w:pPr>
              <w:pStyle w:val="TableContents"/>
              <w:bidi w:val="0"/>
              <w:spacing w:before="0" w:after="283"/>
              <w:jc w:val="both"/>
              <w:rPr/>
            </w:pPr>
            <w:r>
              <w:rPr/>
              <w:t>judgment liens, so long as the finality of such judgment is being contested in good faith and execution thereon is stayed;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78"/>
        <w:gridCol w:w="979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pPr>
            <w:r>
              <w:rPr/>
              <w:t>(xv)</w:t>
            </w:r>
          </w:p>
        </w:tc>
        <w:tc>
          <w:tcPr>
            <w:tcW w:w="9790" w:type="dxa"/>
            <w:tcBorders/>
            <w:shd w:fill="FFFFFF" w:val="clear"/>
            <w:vAlign w:val="center"/>
          </w:tcPr>
          <w:p>
            <w:pPr>
              <w:pStyle w:val="TableContents"/>
              <w:bidi w:val="0"/>
              <w:spacing w:before="0" w:after="283"/>
              <w:jc w:val="both"/>
              <w:rPr/>
            </w:pPr>
            <w:r>
              <w:rPr/>
              <w:t>easements or similar encumbrances, the existence of which does not impair the use of the property subject thereto for the purposes for which it is held or was acquired;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436"/>
        <w:gridCol w:w="973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pPr>
            <w:r>
              <w:rPr/>
              <w:t>(xvi)</w:t>
            </w:r>
          </w:p>
        </w:tc>
        <w:tc>
          <w:tcPr>
            <w:tcW w:w="9732" w:type="dxa"/>
            <w:tcBorders/>
            <w:shd w:fill="FFFFFF" w:val="clear"/>
            <w:vAlign w:val="center"/>
          </w:tcPr>
          <w:p>
            <w:pPr>
              <w:pStyle w:val="TableContents"/>
              <w:bidi w:val="0"/>
              <w:spacing w:before="0" w:after="283"/>
              <w:jc w:val="both"/>
              <w:rPr/>
            </w:pPr>
            <w:r>
              <w:rPr/>
              <w:t>leases and landlords’ mortgages on fixtures and movable property located on premises leased in the ordinary course of business, so long as the rent secured thereby is not in default;</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465"/>
        <w:gridCol w:w="970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pPr>
            <w:r>
              <w:rPr/>
              <w:t>(xvii)</w:t>
            </w:r>
          </w:p>
        </w:tc>
        <w:tc>
          <w:tcPr>
            <w:tcW w:w="9703" w:type="dxa"/>
            <w:tcBorders/>
            <w:shd w:fill="FFFFFF" w:val="clear"/>
            <w:vAlign w:val="center"/>
          </w:tcPr>
          <w:p>
            <w:pPr>
              <w:pStyle w:val="TableContents"/>
              <w:bidi w:val="0"/>
              <w:spacing w:before="0" w:after="283"/>
              <w:jc w:val="both"/>
              <w:rPr/>
            </w:pPr>
            <w:r>
              <w:rPr/>
              <w:t>any extension, renewal or replacement (or successive extensions, renewals or replacements) in whole or in part of any mortgage referred to in the foregoing clauses (i) through (xvi), inclusive, provided, however, that the principal amount of indebtedness secured thereby shall not exceed the principal amount of indebtedness so secured at the time of such extension, renewal or replacement, and that such extension, renewal or replacement shall be limited to all or a part of the property (plus improvements and construction on such property), capital stock or indebtedness which was subject to the mortgage so extended, renewed or replaced; and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2"/>
        <w:gridCol w:w="1127"/>
        <w:gridCol w:w="9006"/>
      </w:tblGrid>
      <w:tr>
        <w:trPr/>
        <w:tc>
          <w:tcPr>
            <w:tcW w:w="72" w:type="dxa"/>
            <w:tcBorders/>
            <w:shd w:fill="FFFFFF" w:val="clear"/>
            <w:vAlign w:val="center"/>
          </w:tcPr>
          <w:p>
            <w:pPr>
              <w:pStyle w:val="TableContents"/>
              <w:bidi w:val="0"/>
              <w:spacing w:before="0" w:after="283"/>
              <w:jc w:val="left"/>
              <w:rPr>
                <w:sz w:val="4"/>
                <w:szCs w:val="4"/>
              </w:rPr>
            </w:pPr>
            <w:r>
              <w:rPr>
                <w:sz w:val="4"/>
                <w:szCs w:val="4"/>
              </w:rPr>
            </w:r>
          </w:p>
        </w:tc>
        <w:tc>
          <w:tcPr>
            <w:tcW w:w="1127" w:type="dxa"/>
            <w:tcBorders/>
            <w:shd w:fill="FFFFFF" w:val="clear"/>
            <w:vAlign w:val="center"/>
          </w:tcPr>
          <w:p>
            <w:pPr>
              <w:pStyle w:val="TableContents"/>
              <w:bidi w:val="0"/>
              <w:spacing w:before="0" w:after="283"/>
              <w:jc w:val="left"/>
              <w:rPr/>
            </w:pPr>
            <w:r>
              <w:rPr/>
              <w:t>(xviii)</w:t>
            </w:r>
          </w:p>
        </w:tc>
        <w:tc>
          <w:tcPr>
            <w:tcW w:w="9006" w:type="dxa"/>
            <w:tcBorders/>
            <w:shd w:fill="FFFFFF" w:val="clear"/>
            <w:vAlign w:val="center"/>
          </w:tcPr>
          <w:p>
            <w:pPr>
              <w:pStyle w:val="TableContents"/>
              <w:bidi w:val="0"/>
              <w:spacing w:before="0" w:after="283"/>
              <w:jc w:val="both"/>
              <w:rPr/>
            </w:pPr>
            <w:r>
              <w:rPr/>
              <w:t>other liens permitted under the Credit Agreement.</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provisions of Section 4.01(a), the Company or any Restricted Subsidiary may, without equally and ratably securing the Notes, issue, assume or guarantee indebtedness secured by a mortgage not excepted by clauses (i) through (xvii) of Section 4.01(b), if the total amount of the following does not at the time exceed the greater of (i) 15% of Consolidated Net Tangible Assets and (ii) $300.0 million:</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53"/>
        <w:gridCol w:w="930"/>
        <w:gridCol w:w="9122"/>
      </w:tblGrid>
      <w:tr>
        <w:trPr/>
        <w:tc>
          <w:tcPr>
            <w:tcW w:w="153"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shd w:fill="FFFFFF" w:val="clear"/>
            <w:vAlign w:val="center"/>
          </w:tcPr>
          <w:p>
            <w:pPr>
              <w:pStyle w:val="TableContents"/>
              <w:bidi w:val="0"/>
              <w:spacing w:before="0" w:after="283"/>
              <w:jc w:val="left"/>
              <w:rPr/>
            </w:pPr>
            <w:r>
              <w:rPr/>
              <w:t>(i)</w:t>
            </w:r>
          </w:p>
        </w:tc>
        <w:tc>
          <w:tcPr>
            <w:tcW w:w="9122" w:type="dxa"/>
            <w:tcBorders/>
            <w:shd w:fill="FFFFFF" w:val="clear"/>
            <w:vAlign w:val="center"/>
          </w:tcPr>
          <w:p>
            <w:pPr>
              <w:pStyle w:val="TableContents"/>
              <w:bidi w:val="0"/>
              <w:spacing w:before="0" w:after="283"/>
              <w:jc w:val="both"/>
              <w:rPr/>
            </w:pPr>
            <w:r>
              <w:rPr/>
              <w:t>such indebtedness; plus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57"/>
        <w:gridCol w:w="9911"/>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pPr>
            <w:r>
              <w:rPr/>
              <w:t>(ii)</w:t>
            </w:r>
          </w:p>
        </w:tc>
        <w:tc>
          <w:tcPr>
            <w:tcW w:w="9911" w:type="dxa"/>
            <w:tcBorders/>
            <w:shd w:fill="FFFFFF" w:val="clear"/>
            <w:vAlign w:val="center"/>
          </w:tcPr>
          <w:p>
            <w:pPr>
              <w:pStyle w:val="TableContents"/>
              <w:bidi w:val="0"/>
              <w:spacing w:before="0" w:after="283"/>
              <w:jc w:val="both"/>
              <w:rPr/>
            </w:pPr>
            <w:r>
              <w:rPr/>
              <w:t>all other indebtedness that the Company and its Restricted Subsidiaries have incurred or have guaranteed existing at such time and secured by mortgages not so excepted; plus</w:t>
            </w:r>
          </w:p>
        </w:tc>
      </w:tr>
    </w:tbl>
    <w:p>
      <w:pPr>
        <w:pStyle w:val="TextBody"/>
        <w:shd w:fill="FFFFFF" w:val="clear"/>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98"/>
        <w:gridCol w:w="987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pPr>
            <w:r>
              <w:rPr/>
              <w:t>(iii)</w:t>
            </w:r>
          </w:p>
        </w:tc>
        <w:tc>
          <w:tcPr>
            <w:tcW w:w="9870" w:type="dxa"/>
            <w:tcBorders/>
            <w:shd w:fill="FFFFFF" w:val="clear"/>
            <w:vAlign w:val="center"/>
          </w:tcPr>
          <w:p>
            <w:pPr>
              <w:pStyle w:val="TableContents"/>
              <w:bidi w:val="0"/>
              <w:spacing w:before="0" w:after="283"/>
              <w:jc w:val="both"/>
              <w:rPr/>
            </w:pPr>
            <w:r>
              <w:rPr/>
              <w:t>the Attributable Debt existing in respect of Sale and Leaseback Transactions existing at such time; provided, however, that Attributable Debt with respect to the following types of Sale and Leaseback Transactions will not be included for the purposes of calculating Attributable Debt in the preceding sentence:</w:t>
            </w:r>
          </w:p>
        </w:tc>
      </w:tr>
    </w:tbl>
    <w:p>
      <w:pPr>
        <w:pStyle w:val="TextBody"/>
        <w:shd w:fill="FFFFFF" w:val="clear"/>
        <w:bidi w:val="0"/>
        <w:spacing w:before="0" w:after="0"/>
        <w:ind w:left="288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88"/>
        <w:gridCol w:w="988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pPr>
            <w:r>
              <w:rPr/>
              <w:t>(A)</w:t>
            </w:r>
          </w:p>
        </w:tc>
        <w:tc>
          <w:tcPr>
            <w:tcW w:w="9880" w:type="dxa"/>
            <w:tcBorders/>
            <w:shd w:fill="FFFFFF" w:val="clear"/>
            <w:vAlign w:val="center"/>
          </w:tcPr>
          <w:p>
            <w:pPr>
              <w:pStyle w:val="TableContents"/>
              <w:bidi w:val="0"/>
              <w:spacing w:before="0" w:after="283"/>
              <w:jc w:val="both"/>
              <w:rPr/>
            </w:pPr>
            <w:r>
              <w:rPr/>
              <w:t>Sale and Leaseback Transactions in respect of which an amount (equaling at least the greater of the net proceeds of the sale of property or the fair market value of the property) is used within 365 days after the effective date of the arrangement to make non-mandatory prepayments on unsubordinated long-term indebtedness, retire unsubordinated long-term indebtedness or acquire, construct or improve a manufacturing plant or facility which is, or upon completion will be, a Principal Property; and</w:t>
            </w:r>
          </w:p>
        </w:tc>
      </w:tr>
    </w:tbl>
    <w:p>
      <w:pPr>
        <w:pStyle w:val="TextBody"/>
        <w:shd w:fill="FFFFFF" w:val="clear"/>
        <w:bidi w:val="0"/>
        <w:spacing w:before="0" w:after="0"/>
        <w:ind w:left="288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308"/>
        <w:gridCol w:w="986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308" w:type="dxa"/>
            <w:tcBorders/>
            <w:shd w:fill="FFFFFF" w:val="clear"/>
            <w:vAlign w:val="center"/>
          </w:tcPr>
          <w:p>
            <w:pPr>
              <w:pStyle w:val="TableContents"/>
              <w:bidi w:val="0"/>
              <w:spacing w:before="0" w:after="283"/>
              <w:jc w:val="left"/>
              <w:rPr/>
            </w:pPr>
            <w:r>
              <w:rPr/>
              <w:t>(B)</w:t>
            </w:r>
          </w:p>
        </w:tc>
        <w:tc>
          <w:tcPr>
            <w:tcW w:w="9860" w:type="dxa"/>
            <w:tcBorders/>
            <w:shd w:fill="FFFFFF" w:val="clear"/>
            <w:vAlign w:val="center"/>
          </w:tcPr>
          <w:p>
            <w:pPr>
              <w:pStyle w:val="TableContents"/>
              <w:bidi w:val="0"/>
              <w:spacing w:before="0" w:after="283"/>
              <w:jc w:val="both"/>
              <w:rPr/>
            </w:pPr>
            <w:r>
              <w:rPr/>
              <w:t>Sale and Leaseback Transactions in which the property involved would have been permitted to be mortgaged under clause (ii) or (vii) of Section 4.01(b).</w:t>
            </w:r>
          </w:p>
        </w:tc>
      </w:tr>
    </w:tbl>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4.02.</w:t>
        <w:tab/>
      </w:r>
      <w:r>
        <w:rPr>
          <w:rFonts w:ascii="Times New Roman;Times;Serif" w:hAnsi="Times New Roman;Times;Serif"/>
          <w:b/>
          <w:i/>
          <w:caps w:val="false"/>
          <w:smallCaps w:val="false"/>
          <w:sz w:val="20"/>
        </w:rPr>
        <w:t>Restrictions on Sale and Leaseback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and will not permit any Restricted Subsidiary to, enter into any arrangement with any Person providing for the leasing by the Company or any Restricted Subsidiary of any Principal Property whether now owned or hereafter acquired (except for temporary leases for a term, including any renewal thereof, of not more than three years and except for leases between the Company and any Restricted Subsidiary, between any Restricted Subsidiary and the Company or between Restricted Subsidiaries), which property has been or is to be sold or transferred by the Company or such Restricted Subsidiary to any Person with the intention of taking back a lease of such property (herein referred to as a “</w:t>
      </w:r>
      <w:r>
        <w:rPr>
          <w:rFonts w:ascii="Times New Roman;Times;Serif" w:hAnsi="Times New Roman;Times;Serif"/>
          <w:b/>
          <w:i w:val="false"/>
          <w:caps w:val="false"/>
          <w:smallCaps w:val="false"/>
          <w:sz w:val="20"/>
        </w:rPr>
        <w:t>Sale and Leaseback Transaction</w:t>
      </w:r>
      <w:r>
        <w:rPr>
          <w:rFonts w:ascii="Times New Roman;Times;Serif" w:hAnsi="Times New Roman;Times;Serif"/>
          <w:b w:val="false"/>
          <w:i w:val="false"/>
          <w:caps w:val="false"/>
          <w:smallCaps w:val="false"/>
          <w:sz w:val="20"/>
        </w:rPr>
        <w:t>”), unless: (i) the Company or such Restricted Subsidiary would (at the time of entering into such arrangement) be entitled pursuant to clause (ii) or (vii) of Section 4.01(b), without equally and ratably securing the Notes, to create, incur, issue, assume or guarantee indebtedness secured by a mortgage on such property, or (ii) the Company or such Restricted Subsidiary would (at the time of entering into such arrangement) be entitled pursuant to Section 4.01(c), without equally and ratably securing the Notes, to create, incur, issue, assume or guarantee indebtedness secured by a mortgage on such property in an amount at least equal to the Attributable Debt in respect of such Sale and Leaseback Transaction or (iii) the Company shall apply, within 365 days of the effective date of any such arrangement, an amount not less than the greater of (x) the net proceeds of the sale of such property or (y) the fair market value (as determined by the Board of Directors) of such property to either the prepayment or retirement (other than any mandatory prepayment or retirement) of Funded Debt or to the acquisition, construction or improvement of a manufacturing plant or manufacturing facility which is, or upon such acquisition, construction or improvement will be, a Principal Property.</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4.03.</w:t>
        <w:tab/>
      </w:r>
      <w:r>
        <w:rPr>
          <w:rFonts w:ascii="Times New Roman;Times;Serif" w:hAnsi="Times New Roman;Times;Serif"/>
          <w:b/>
          <w:i/>
          <w:caps w:val="false"/>
          <w:smallCaps w:val="false"/>
          <w:sz w:val="20"/>
        </w:rPr>
        <w:t>Subsidiary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after the date of this First Supplemental Indenture, any Existing Senior Notes become guaranteed by any Subsidiary of the Company then, if such Subsidiary is not already a Guarantor, the Company shall cause such Subsidiary within 30 days after such Subsidiary guarantees the Existing Notes to (a) execute and deliver to the Trustee a supplemental indenture substantially in the form attached hereto as Exhibit C, pursuant to which such Subsidiary will fully and unconditionally guarantee all of the Company’s obligations under this First Supplemental Indenture and (b) deliver to the Trustee an Officer’s Certificate and Opinion of Counsel to the effect that (i) such supplemental indenture and Guarantee has been duly authorized, executed and delivered, (ii) such supplemental indenture and Guarantee constitutes a valid, binding and enforceable obligation of such Subsidiary, except insofar as enforcement thereof may be limited by bankruptcy, insolvency or similar laws and except insofar as enforcement thereof is subject to general principles of equity and (iii) such supplemental indenture complies with the terms of this Indenture.</w:t>
      </w:r>
    </w:p>
    <w:p>
      <w:pPr>
        <w:pStyle w:val="TextBody"/>
        <w:shd w:fill="FFFFFF" w:val="clear"/>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events of default</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5.01.</w:t>
        <w:tab/>
      </w:r>
      <w:r>
        <w:rPr>
          <w:rFonts w:ascii="Times New Roman;Times;Serif" w:hAnsi="Times New Roman;Times;Serif"/>
          <w:b/>
          <w:i/>
          <w:caps w:val="false"/>
          <w:smallCaps w:val="false"/>
          <w:sz w:val="20"/>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Event of Default shall be applicable as specified below. Nothing in this Article will, however, affect the Company’s rights or obligations under any other provision of the Base Indenture or this First Supplemental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Event of Default shall be applicable for so long as any of the Notes are Outstanding:</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make any payment at maturity, including any applicable grace period, of any indebtedness of the Company in an aggregate amount in excess of $225,000,000 and continuance of such failure to pay or a default on any of the Company’s indebtedness which default results in the acceleration of indebtedness in an aggregate principal amount in excess of $225,000,000 without such indebtedness having been discharged or the acceleration having been cured, waived, rescinded or annulled; provided, however, that if the failure, default or acceleration shall cease or be cured, waived, rescinded or annulled, then the Event of Default shall be deemed cured;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such time as a Subsidiary is obligated to provide a Guarantee pursuant to Section 4.03 hereof:</w:t>
      </w:r>
    </w:p>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01"/>
        <w:gridCol w:w="9967"/>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pPr>
            <w:r>
              <w:rPr/>
              <w:t>(i)</w:t>
            </w:r>
          </w:p>
        </w:tc>
        <w:tc>
          <w:tcPr>
            <w:tcW w:w="9967" w:type="dxa"/>
            <w:tcBorders/>
            <w:shd w:fill="FFFFFF" w:val="clear"/>
            <w:vAlign w:val="center"/>
          </w:tcPr>
          <w:p>
            <w:pPr>
              <w:pStyle w:val="TableContents"/>
              <w:bidi w:val="0"/>
              <w:spacing w:before="0" w:after="283"/>
              <w:jc w:val="both"/>
              <w:rPr/>
            </w:pPr>
            <w:r>
              <w:rPr/>
              <w:t>For purposes of Section 5.01(d) of the Base Indenture, references to the “Company” shall be deemed to be references to the Company or any such Subsidiary; and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66"/>
        <w:gridCol w:w="990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pPr>
            <w:r>
              <w:rPr/>
              <w:t>(ii)</w:t>
            </w:r>
          </w:p>
        </w:tc>
        <w:tc>
          <w:tcPr>
            <w:tcW w:w="9902" w:type="dxa"/>
            <w:tcBorders/>
            <w:shd w:fill="FFFFFF" w:val="clear"/>
            <w:vAlign w:val="center"/>
          </w:tcPr>
          <w:p>
            <w:pPr>
              <w:pStyle w:val="TableContents"/>
              <w:bidi w:val="0"/>
              <w:spacing w:before="0" w:after="283"/>
              <w:jc w:val="both"/>
              <w:rPr/>
            </w:pPr>
            <w:r>
              <w:rPr/>
              <w:t>For purposes of Section 5.01(a) hereof, references to the “Company” shall be deemed to be references to the Company or any such Subsidiary; and</w:t>
            </w:r>
          </w:p>
        </w:tc>
      </w:tr>
    </w:tbl>
    <w:p>
      <w:pPr>
        <w:pStyle w:val="TextBody"/>
        <w:shd w:fill="FFFFFF" w:val="clear"/>
        <w:bidi w:val="0"/>
        <w:spacing w:before="0" w:after="0"/>
        <w:ind w:left="216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3"/>
        <w:gridCol w:w="678"/>
        <w:gridCol w:w="9454"/>
      </w:tblGrid>
      <w:tr>
        <w:trPr/>
        <w:tc>
          <w:tcPr>
            <w:tcW w:w="73" w:type="dxa"/>
            <w:tcBorders/>
            <w:shd w:fill="FFFFFF" w:val="clear"/>
            <w:vAlign w:val="center"/>
          </w:tcPr>
          <w:p>
            <w:pPr>
              <w:pStyle w:val="TableContents"/>
              <w:bidi w:val="0"/>
              <w:spacing w:before="0" w:after="283"/>
              <w:jc w:val="left"/>
              <w:rPr>
                <w:sz w:val="4"/>
                <w:szCs w:val="4"/>
              </w:rPr>
            </w:pPr>
            <w:r>
              <w:rPr>
                <w:sz w:val="4"/>
                <w:szCs w:val="4"/>
              </w:rPr>
            </w:r>
          </w:p>
        </w:tc>
        <w:tc>
          <w:tcPr>
            <w:tcW w:w="678" w:type="dxa"/>
            <w:tcBorders/>
            <w:shd w:fill="FFFFFF" w:val="clear"/>
            <w:vAlign w:val="center"/>
          </w:tcPr>
          <w:p>
            <w:pPr>
              <w:pStyle w:val="TableContents"/>
              <w:bidi w:val="0"/>
              <w:spacing w:before="0" w:after="283"/>
              <w:jc w:val="left"/>
              <w:rPr/>
            </w:pPr>
            <w:r>
              <w:rPr/>
              <w:t>(iii)</w:t>
            </w:r>
          </w:p>
        </w:tc>
        <w:tc>
          <w:tcPr>
            <w:tcW w:w="9454" w:type="dxa"/>
            <w:tcBorders/>
            <w:shd w:fill="FFFFFF" w:val="clear"/>
            <w:vAlign w:val="center"/>
          </w:tcPr>
          <w:p>
            <w:pPr>
              <w:pStyle w:val="TableContents"/>
              <w:bidi w:val="0"/>
              <w:spacing w:before="0" w:after="283"/>
              <w:jc w:val="both"/>
              <w:rPr/>
            </w:pPr>
            <w:r>
              <w:rPr/>
              <w:t>The following Event of Default shall be applicable:</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Guarantee of any Guarantor is held in any judicial proceeding to be unenforceable or invalid or ceases for any reason to be in full force and effect in all material respects (other than in accordance with the terms of such Guarantee and the Indenture) or any such Guarantor denies its liability under its Guarantee (other than by reason of release of a Guarantor from its Guarantee in accordance with the terms of the Indenture and such Guarantee) and such event continues for 10 business days.</w:t>
      </w:r>
    </w:p>
    <w:p>
      <w:pPr>
        <w:pStyle w:val="TextBody"/>
        <w:shd w:fill="FFFFFF" w:val="clear"/>
        <w:bidi w:val="0"/>
        <w:spacing w:before="0" w:after="0"/>
        <w:ind w:left="0" w:right="0" w:hanging="0"/>
        <w:jc w:val="center"/>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MISCELLANEOUS</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6.01.</w:t>
        <w:tab/>
      </w:r>
      <w:r>
        <w:rPr>
          <w:rFonts w:ascii="Times New Roman;Times;Serif" w:hAnsi="Times New Roman;Times;Serif"/>
          <w:b/>
          <w:i/>
          <w:caps w:val="false"/>
          <w:smallCaps w:val="false"/>
          <w:sz w:val="20"/>
        </w:rPr>
        <w:t>Trust Indenture Act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First Supplemental Indenture limits, qualifies or conflicts with another provision which is required to be included in this First Supplemental Indenture by the Trust Indenture Act, the required provision shall control. If any provision of this First Supplemental Indenture modifies or excludes any provision of the Trust Indenture Act which may be so modified or excluded, the latter provision shall be deemed to apply to this First Supplemental Indenture as so modified or to be excluded, as the case may be.</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6.02.</w:t>
        <w:tab/>
      </w:r>
      <w:r>
        <w:rPr>
          <w:rFonts w:ascii="Times New Roman;Times;Serif" w:hAnsi="Times New Roman;Times;Serif"/>
          <w:b/>
          <w:i/>
          <w:caps w:val="false"/>
          <w:smallCaps w:val="false"/>
          <w:sz w:val="20"/>
        </w:rPr>
        <w:t>New York Law to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Supplemental Indenture and the Notes shall be governed by and construed in accordance with the laws of the State of New York.</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6.03.</w:t>
        <w:tab/>
      </w:r>
      <w:r>
        <w:rPr>
          <w:rFonts w:ascii="Times New Roman;Times;Serif" w:hAnsi="Times New Roman;Times;Serif"/>
          <w:b/>
          <w:i/>
          <w:caps w:val="false"/>
          <w:smallCaps w:val="false"/>
          <w:sz w:val="20"/>
        </w:rPr>
        <w:t>Counterparts; 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Supplemental Indenture or any certificate or other document delivered pursuant to this First Supplemental Indenture may be executed in several counterparts, each of which shall be an original and all of which shall constitute but one and the same instrument. This First Supplemental Indenture shall be valid, binding, and enforceable against a party, and, except as otherwise provided in this First Supplemental Indenture, any certificate or other document delivered pursuant to this First Supplemental Indenture shall be deemed to be duly signed and delivered,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New York Uniform Commercial Code (collectively, “</w:t>
      </w:r>
      <w:r>
        <w:rPr>
          <w:rFonts w:ascii="Times New Roman;Times;Serif" w:hAnsi="Times New Roman;Times;Serif"/>
          <w:b/>
          <w:i/>
          <w:caps w:val="false"/>
          <w:smallCaps w:val="false"/>
          <w:sz w:val="20"/>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New York Uniform Commercial Code or other Signature Law due to the character or intended character of the writings. All notices, approvals, consents, requests and any communications hereunder must be in writing (provided that any such communication sent to Trustee hereunder must be in the form of a document that is signed manually or by way of a digital signature provided by the electronic signature provider that the Company plans to use (or such other digital signature provider as specified in writing to Trustee by the authorized representative)), in English. The Trustee shall have no duty to inquire into or investigate the authenticity or authorization of any electronic signature and shall be entitled to conclusively rely on any such electronic signature without any liability with respect thereto.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6.04.</w:t>
        <w:tab/>
      </w:r>
      <w:r>
        <w:rPr>
          <w:rFonts w:ascii="Times New Roman;Times;Serif" w:hAnsi="Times New Roman;Times;Serif"/>
          <w:b/>
          <w:i/>
          <w:caps w:val="false"/>
          <w:smallCaps w:val="false"/>
          <w:sz w:val="20"/>
        </w:rPr>
        <w:t>Severability.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First Supplemental Indenture or the Notes shall be held to be illegal or unenforceable under applicable law, then the remaining provisions hereof shall be construed as though such invalid, illegal or unenforceable provision were not contained therein.</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6.05.</w:t>
        <w:tab/>
      </w:r>
      <w:r>
        <w:rPr>
          <w:rFonts w:ascii="Times New Roman;Times;Serif" w:hAnsi="Times New Roman;Times;Serif"/>
          <w:b/>
          <w:i/>
          <w:caps w:val="false"/>
          <w:smallCaps w:val="false"/>
          <w:sz w:val="20"/>
        </w:rPr>
        <w:t>Ratification.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Indenture, as supplemented and amended by this First Supplemental Indenture, is in all respects ratified and confirmed. The Indenture shall be read, taken and construed as one and the same instrument. All provisions included in this First Supplemental Indenture supersede any conflicting provisions included in the Base Indenture unless not permitted by law. The Trustee accepts the trusts created by the Indenture, and agrees to perform the same upon the terms and conditions of the Indenture.</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6.06.</w:t>
        <w:tab/>
      </w:r>
      <w:r>
        <w:rPr>
          <w:rFonts w:ascii="Times New Roman;Times;Serif" w:hAnsi="Times New Roman;Times;Serif"/>
          <w:b/>
          <w:i/>
          <w:caps w:val="false"/>
          <w:smallCaps w:val="false"/>
          <w:sz w:val="20"/>
        </w:rPr>
        <w:t>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First Supplemental Indenture shall become effective as of the date hereof.</w:t>
      </w:r>
    </w:p>
    <w:p>
      <w:pPr>
        <w:pStyle w:val="TextBody"/>
        <w:shd w:fill="FFFFFF" w:val="clear"/>
        <w:bidi w:val="0"/>
        <w:spacing w:before="0" w:after="0"/>
        <w:ind w:left="1440" w:right="0" w:hanging="144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6.07.</w:t>
        <w:tab/>
      </w:r>
      <w:r>
        <w:rPr>
          <w:rFonts w:ascii="Times New Roman;Times;Serif" w:hAnsi="Times New Roman;Times;Serif"/>
          <w:b/>
          <w:i/>
          <w:caps w:val="false"/>
          <w:smallCaps w:val="false"/>
          <w:sz w:val="20"/>
        </w:rPr>
        <w:t>Trustee Makes No 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are made by the Company and not by the Trustee, and the Trustee assumes no responsibility for the correctness thereof. The Trustee makes no representation as to the validity or sufficiency of this First Supplemental Indenture. All rights, protections, privileges, indemnities and benefits granted or afforded to the Trustee under the Indenture shall be deemed incorporated herein by this reference and shall be deemed applicable to all actions taken, suffered or omitted by the Trustee in each of its capacities hereunder, and each agent, custodian and other Person employed to act under this First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Supplemental Indenture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75"/>
        <w:gridCol w:w="2735"/>
      </w:tblGrid>
      <w:tr>
        <w:trPr/>
        <w:tc>
          <w:tcPr>
            <w:tcW w:w="75" w:type="dxa"/>
            <w:tcBorders/>
            <w:vAlign w:val="center"/>
          </w:tcPr>
          <w:p>
            <w:pPr>
              <w:pStyle w:val="TableContents"/>
              <w:bidi w:val="0"/>
              <w:spacing w:before="0" w:after="283"/>
              <w:ind w:left="0" w:right="0" w:hanging="0"/>
              <w:jc w:val="left"/>
              <w:rPr/>
            </w:pPr>
            <w:r>
              <w:rPr/>
              <w:t> </w:t>
            </w:r>
          </w:p>
        </w:tc>
        <w:tc>
          <w:tcPr>
            <w:tcW w:w="2735" w:type="dxa"/>
            <w:tcBorders/>
            <w:vAlign w:val="center"/>
          </w:tcPr>
          <w:p>
            <w:pPr>
              <w:pStyle w:val="TableContents"/>
              <w:bidi w:val="0"/>
              <w:spacing w:before="0" w:after="283"/>
              <w:jc w:val="both"/>
              <w:rPr>
                <w:b/>
              </w:rPr>
            </w:pPr>
            <w:r>
              <w:rPr>
                <w:b/>
              </w:rPr>
              <w:t>HEICO CORPORATION</w:t>
            </w:r>
          </w:p>
        </w:tc>
      </w:tr>
    </w:tbl>
    <w:p>
      <w:pPr>
        <w:pStyle w:val="TextBody"/>
        <w:bidi w:val="0"/>
        <w:spacing w:before="0" w:after="0"/>
        <w:ind w:left="0" w:right="0" w:hanging="0"/>
        <w:jc w:val="both"/>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75"/>
        <w:gridCol w:w="365"/>
        <w:gridCol w:w="650"/>
        <w:gridCol w:w="3590"/>
      </w:tblGrid>
      <w:tr>
        <w:trPr/>
        <w:tc>
          <w:tcPr>
            <w:tcW w:w="75"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both"/>
              <w:rPr>
                <w:b w:val="false"/>
              </w:rPr>
            </w:pPr>
            <w:r>
              <w:rPr>
                <w:b w:val="false"/>
              </w:rPr>
              <w:t>By:</w:t>
            </w:r>
          </w:p>
        </w:tc>
        <w:tc>
          <w:tcPr>
            <w:tcW w:w="4240" w:type="dxa"/>
            <w:gridSpan w:val="2"/>
            <w:tcBorders>
              <w:bottom w:val="single" w:sz="12" w:space="0" w:color="000000"/>
            </w:tcBorders>
            <w:tcMar>
              <w:bottom w:w="28" w:type="dxa"/>
            </w:tcMar>
            <w:vAlign w:val="center"/>
          </w:tcPr>
          <w:p>
            <w:pPr>
              <w:pStyle w:val="TableContents"/>
              <w:bidi w:val="0"/>
              <w:spacing w:before="0" w:after="283"/>
              <w:jc w:val="left"/>
              <w:rPr>
                <w:b w:val="false"/>
              </w:rPr>
            </w:pPr>
            <w:r>
              <w:rPr>
                <w:b w:val="false"/>
              </w:rPr>
              <w:t>/s/ Carlos L. Macau, Jr.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650" w:type="dxa"/>
            <w:tcBorders/>
            <w:vAlign w:val="center"/>
          </w:tcPr>
          <w:p>
            <w:pPr>
              <w:pStyle w:val="TableContents"/>
              <w:bidi w:val="0"/>
              <w:spacing w:before="0" w:after="283"/>
              <w:ind w:left="0" w:right="0" w:hanging="0"/>
              <w:jc w:val="both"/>
              <w:rPr>
                <w:b w:val="false"/>
              </w:rPr>
            </w:pPr>
            <w:r>
              <w:rPr>
                <w:b w:val="false"/>
              </w:rPr>
              <w:t>Name:</w:t>
            </w:r>
          </w:p>
        </w:tc>
        <w:tc>
          <w:tcPr>
            <w:tcW w:w="3590" w:type="dxa"/>
            <w:tcBorders/>
            <w:vAlign w:val="center"/>
          </w:tcPr>
          <w:p>
            <w:pPr>
              <w:pStyle w:val="TableContents"/>
              <w:bidi w:val="0"/>
              <w:spacing w:before="0" w:after="283"/>
              <w:jc w:val="both"/>
              <w:rPr>
                <w:b w:val="false"/>
              </w:rPr>
            </w:pPr>
            <w:r>
              <w:rPr>
                <w:b w:val="false"/>
              </w:rPr>
              <w:t>Carlos L. Macau, Jr.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650" w:type="dxa"/>
            <w:tcBorders/>
            <w:vAlign w:val="center"/>
          </w:tcPr>
          <w:p>
            <w:pPr>
              <w:pStyle w:val="TableContents"/>
              <w:bidi w:val="0"/>
              <w:spacing w:before="0" w:after="283"/>
              <w:ind w:left="0" w:right="0" w:hanging="0"/>
              <w:jc w:val="both"/>
              <w:rPr>
                <w:b w:val="false"/>
              </w:rPr>
            </w:pPr>
            <w:r>
              <w:rPr>
                <w:b w:val="false"/>
              </w:rPr>
              <w:t>Title:</w:t>
            </w:r>
          </w:p>
        </w:tc>
        <w:tc>
          <w:tcPr>
            <w:tcW w:w="3590" w:type="dxa"/>
            <w:tcBorders/>
            <w:vAlign w:val="center"/>
          </w:tcPr>
          <w:p>
            <w:pPr>
              <w:pStyle w:val="TableContents"/>
              <w:bidi w:val="0"/>
              <w:spacing w:before="0" w:after="283"/>
              <w:jc w:val="left"/>
              <w:rPr>
                <w:b w:val="false"/>
              </w:rPr>
            </w:pPr>
            <w:r>
              <w:rPr>
                <w:b w:val="false"/>
              </w:rPr>
              <w:t xml:space="preserve">Executive Vice President - </w:t>
              <w:br/>
              <w:t>Chief Financial Officer and Treasurer</w:t>
            </w:r>
          </w:p>
        </w:tc>
      </w:tr>
    </w:tbl>
    <w:p>
      <w:pPr>
        <w:pStyle w:val="TextBody"/>
        <w:bidi w:val="0"/>
        <w:spacing w:before="0" w:after="0"/>
        <w:ind w:left="0" w:right="0" w:firstLine="720"/>
        <w:jc w:val="both"/>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75"/>
      </w:tblGrid>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b/>
              </w:rPr>
            </w:pPr>
            <w:r>
              <w:rPr>
                <w:b/>
              </w:rPr>
              <w:t>TRUIST BANK,</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b/>
              </w:rPr>
            </w:pPr>
            <w:r>
              <w:rPr>
                <w:b/>
              </w:rPr>
              <w:t>as Trustee</w:t>
            </w:r>
          </w:p>
        </w:tc>
      </w:tr>
    </w:tbl>
    <w:p>
      <w:pPr>
        <w:pStyle w:val="TextBody"/>
        <w:bidi w:val="0"/>
        <w:spacing w:before="0" w:after="0"/>
        <w:ind w:left="0" w:right="0" w:hanging="0"/>
        <w:jc w:val="both"/>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75"/>
        <w:gridCol w:w="365"/>
        <w:gridCol w:w="650"/>
        <w:gridCol w:w="165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b w:val="false"/>
              </w:rPr>
            </w:pPr>
            <w:r>
              <w:rPr>
                <w:b w:val="false"/>
              </w:rPr>
              <w:t>By:</w:t>
            </w:r>
          </w:p>
        </w:tc>
        <w:tc>
          <w:tcPr>
            <w:tcW w:w="2305" w:type="dxa"/>
            <w:gridSpan w:val="2"/>
            <w:tcBorders>
              <w:bottom w:val="single" w:sz="12" w:space="0" w:color="000000"/>
            </w:tcBorders>
            <w:tcMar>
              <w:bottom w:w="28" w:type="dxa"/>
            </w:tcMar>
            <w:vAlign w:val="center"/>
          </w:tcPr>
          <w:p>
            <w:pPr>
              <w:pStyle w:val="TableContents"/>
              <w:bidi w:val="0"/>
              <w:spacing w:before="0" w:after="283"/>
              <w:jc w:val="both"/>
              <w:rPr>
                <w:b w:val="false"/>
              </w:rPr>
            </w:pPr>
            <w:r>
              <w:rPr>
                <w:b w:val="false"/>
              </w:rPr>
              <w:t>/s/ Patrick Giordano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b w:val="false"/>
              </w:rPr>
            </w:pPr>
            <w:r>
              <w:rPr>
                <w:b w:val="false"/>
              </w:rPr>
              <w:t>Name:</w:t>
            </w:r>
          </w:p>
        </w:tc>
        <w:tc>
          <w:tcPr>
            <w:tcW w:w="1655" w:type="dxa"/>
            <w:tcBorders/>
            <w:vAlign w:val="center"/>
          </w:tcPr>
          <w:p>
            <w:pPr>
              <w:pStyle w:val="TableContents"/>
              <w:bidi w:val="0"/>
              <w:spacing w:before="0" w:after="283"/>
              <w:jc w:val="both"/>
              <w:rPr>
                <w:b w:val="false"/>
              </w:rPr>
            </w:pPr>
            <w:r>
              <w:rPr>
                <w:b w:val="false"/>
              </w:rPr>
              <w:t>Patrick Giordano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b w:val="false"/>
              </w:rPr>
            </w:pPr>
            <w:r>
              <w:rPr>
                <w:b w:val="false"/>
              </w:rPr>
              <w:t>Title:</w:t>
            </w:r>
          </w:p>
        </w:tc>
        <w:tc>
          <w:tcPr>
            <w:tcW w:w="1655" w:type="dxa"/>
            <w:tcBorders/>
            <w:vAlign w:val="center"/>
          </w:tcPr>
          <w:p>
            <w:pPr>
              <w:pStyle w:val="TableContents"/>
              <w:bidi w:val="0"/>
              <w:spacing w:before="0" w:after="283"/>
              <w:jc w:val="both"/>
              <w:rPr>
                <w:b w:val="false"/>
              </w:rPr>
            </w:pPr>
            <w:r>
              <w:rPr>
                <w:b w:val="false"/>
              </w:rPr>
              <w:t>Vice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br/>
        <w:br/>
        <w:t>Form of 4.950% Note Due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Senior Note due 2031</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965"/>
        <w:gridCol w:w="725"/>
      </w:tblGrid>
      <w:tr>
        <w:trPr/>
        <w:tc>
          <w:tcPr>
            <w:tcW w:w="965" w:type="dxa"/>
            <w:tcBorders/>
            <w:vAlign w:val="center"/>
          </w:tcPr>
          <w:p>
            <w:pPr>
              <w:pStyle w:val="TableContents"/>
              <w:bidi w:val="0"/>
              <w:spacing w:before="0" w:after="283"/>
              <w:jc w:val="left"/>
              <w:rPr>
                <w:b w:val="false"/>
              </w:rPr>
            </w:pPr>
            <w:r>
              <w:rPr>
                <w:b w:val="false"/>
              </w:rPr>
              <w:t>No. [___]</w:t>
            </w:r>
          </w:p>
        </w:tc>
        <w:tc>
          <w:tcPr>
            <w:tcW w:w="725" w:type="dxa"/>
            <w:tcBorders/>
            <w:vAlign w:val="center"/>
          </w:tcPr>
          <w:p>
            <w:pPr>
              <w:pStyle w:val="TableContents"/>
              <w:bidi w:val="0"/>
              <w:spacing w:before="0" w:after="283"/>
              <w:jc w:val="right"/>
              <w:rPr>
                <w:b w:val="false"/>
              </w:rPr>
            </w:pPr>
            <w:r>
              <w:rPr>
                <w:b w:val="false"/>
              </w:rPr>
              <w:t>$ [___]</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422806 AC3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US422806AC32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duly organized and existing under the laws of the State of Florida (herein called the “Company,” which term includes any successor Person under the Indenture hereinafter referred to), for value received, hereby promises to pay to Cede &amp; Co., or registered assigns, the principal sum listed on the Schedule of Increases or Decreases in Global Security attached hereto on August 1, 2031 and to pay interest thereon from July 16, 2026 or from the most recent Interest Payment Date to which interest has been paid or duly provided for, semiannually in arrears on February 1 and August 1 in each year, commencing February 1, 2027 at the rate of 4.950% per annum, until the principal hereof is paid or duly provided 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any principal and premium, and any such installment of interest, which is overdue shall bear interest at the rate of 4.950% per annum (to the extent that the payment of such interest shall be legally enforceable), from the dates such amounts are due until they are paid or duly provided for. The interest so payable and punctually paid or duly provided for, on any Interest Payment Date shall, as provided in the Indenture, be paid to the Person in whose name this Security (or one or more predecessor Securities) is registered at the close of business on the Regular Record Date for such interest, which shall be January 15 and July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interest on this Security shall be made at the office or agency of the Company maintained for that purpose in the Borough of Manhattan, The City of New York,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this Security shall not be entitled to any benefit under the Indenture or be valid or obligatory for any 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Security to be duly executed.</w:t>
      </w:r>
    </w:p>
    <w:p>
      <w:pPr>
        <w:pStyle w:val="TextBody"/>
        <w:bidi w:val="0"/>
        <w:spacing w:before="0" w:after="0"/>
        <w:ind w:left="0" w:right="0" w:firstLine="72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both"/>
              <w:rPr>
                <w:b/>
                <w:sz w:val="20"/>
              </w:rPr>
            </w:pPr>
            <w:r>
              <w:rPr>
                <w:b/>
                <w:sz w:val="20"/>
              </w:rPr>
              <w:t>HEICO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940" w:type="dxa"/>
            <w:gridSpan w:val="3"/>
            <w:tcBorders/>
            <w:vAlign w:val="center"/>
          </w:tcPr>
          <w:p>
            <w:pPr>
              <w:pStyle w:val="TableContents"/>
              <w:bidi w:val="0"/>
              <w:spacing w:before="0" w:after="283"/>
              <w:jc w:val="both"/>
              <w:rPr>
                <w:b w:val="false"/>
                <w:sz w:val="20"/>
              </w:rPr>
            </w:pPr>
            <w:r>
              <w:rPr>
                <w:b w:val="false"/>
                <w:sz w:val="20"/>
              </w:rPr>
              <w:t>Attest: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9260"/>
        <w:gridCol w:w="75"/>
      </w:tblGrid>
      <w:tr>
        <w:trPr/>
        <w:tc>
          <w:tcPr>
            <w:tcW w:w="9260" w:type="dxa"/>
            <w:tcBorders/>
            <w:vAlign w:val="center"/>
          </w:tcPr>
          <w:p>
            <w:pPr>
              <w:pStyle w:val="TableContents"/>
              <w:bidi w:val="0"/>
              <w:spacing w:before="0" w:after="283"/>
              <w:jc w:val="left"/>
              <w:rPr>
                <w:b w:val="false"/>
                <w:sz w:val="20"/>
              </w:rPr>
            </w:pPr>
            <w:r>
              <w:rPr>
                <w:b w:val="false"/>
                <w:sz w:val="20"/>
              </w:rPr>
              <w:t>TRUSTEE’S CERTIFICATE OF AUTHENTICATION</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both"/>
              <w:rPr>
                <w:b w:val="false"/>
                <w:sz w:val="20"/>
              </w:rPr>
            </w:pPr>
            <w:r>
              <w:rPr>
                <w:b w:val="false"/>
                <w:sz w:val="20"/>
              </w:rPr>
              <w:t>This is one of the debt Securities of the series designated herein and referred to in the within-mentioned Indenture.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b w:val="false"/>
                <w:sz w:val="20"/>
              </w:rPr>
            </w:pPr>
            <w:r>
              <w:rPr>
                <w:b w:val="false"/>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1400"/>
        <w:gridCol w:w="75"/>
      </w:tblGrid>
      <w:tr>
        <w:trPr/>
        <w:tc>
          <w:tcPr>
            <w:tcW w:w="1400" w:type="dxa"/>
            <w:tcBorders/>
            <w:vAlign w:val="center"/>
          </w:tcPr>
          <w:p>
            <w:pPr>
              <w:pStyle w:val="TableContents"/>
              <w:bidi w:val="0"/>
              <w:spacing w:before="0" w:after="283"/>
              <w:jc w:val="both"/>
              <w:rPr>
                <w:b/>
                <w:sz w:val="20"/>
              </w:rPr>
            </w:pPr>
            <w:r>
              <w:rPr>
                <w:b/>
                <w:sz w:val="20"/>
              </w:rPr>
              <w:t>TRUIST BANK,</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both"/>
              <w:rPr>
                <w:b w:val="false"/>
                <w:sz w:val="20"/>
              </w:rPr>
            </w:pPr>
            <w:r>
              <w:rPr>
                <w:b w:val="false"/>
                <w:sz w:val="20"/>
              </w:rPr>
              <w:t>as Trustee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both"/>
              <w:rPr>
                <w:b w:val="false"/>
                <w:sz w:val="20"/>
              </w:rPr>
            </w:pPr>
            <w:r>
              <w:rPr>
                <w:b w:val="false"/>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b w:val="false"/>
                <w:sz w:val="20"/>
              </w:rPr>
            </w:pPr>
            <w:r>
              <w:rPr>
                <w:b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Reverse of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designated as 4.950% Senior Notes due 2031 (herein called the “Securities”), initially limited in aggregate principal amount on the Issue Date to $550,000,000 issued and to be issued under an Indenture, dated as of July 16, 2026, as supplemented (herein called the “Indenture,” which term shall have the meaning assigned to it in such instrument), between the Company and Truist Bank,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include those expressly set forth in the Indenture and those made part of the Indenture by reference to the Trust Indenture Act of 1939, as amended (the “Trust Indenture Act”). Terms defined in the Indenture and not defined herein have the meanings ascribed thereto in the Indenture. Notwithstanding anything to the contrary herein, the Securities are subject to all such terms, and Holders of Securities are referred to the Indenture and the Trust Indenture Act for a statement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July 1, 2031 (the “Par Call Date”), the Company may redeem the Securities at its option, in whole or in part, at any time and from time to time, at a Redemption Price (expressed as a percentage of principal amount and rounded to three decimal places) equal to the greater of:</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principal amount of the Securities to be redeemed, plus, in either case, accrued and unpaid interest thereon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legal defeasance at any time of the entire indebtedness of this Security or for covenant defeasance of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there may be declared due and payable the principal of, premium, if any, and accrued and unpaid interest, if any, on all of the outstanding Securities,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not less than 25.0% in aggregate principal amount of the Securities at the time Outstanding shall have made written request to the Trustee to institute proceedings in respect of such Event of Default as Trustee and offered the Trustee indemnity satisfactory to the Trustee and the Trustee shall not have received from the Holders of a majority in aggregate principal amount of Securities at the time Outstanding a direction inconsistent with such request, and shall have failed to institute any such proceeding for 60 days after receipt of such notice, request and offer of indemnity. The foregoing shall not apply to certain suits described in the Indenture, including any suit instituted by the Holder of this Security for the enforcement of any payment of principal hereof or any premium or interest hereon on or after the respective due dates expressed herein (or, in the case of redemption, on or after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subject to redemption upon the occurrence of a Change of Control Triggering Event. Unless the Company has exercised its right to redeem this Security in full as described above, the Indenture provides that each Holder of the Securities of this series will have the right to require the Company to purchase all or a portion of such Holder’s Securities of this series pursuant to the offer described below (the “Change of Control Offer”) at a purchase price equal to 101% of the principal amount thereof plus accrued and unpaid interest, if any, to the date of purchase, subject to the rights of Holders of Securities of this series on the relevant record date to receive interest due on the relevant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the date upon which the Change of Control Triggering Event occurred, or at the Company’s option, prior to any Change of Control but after the public announcement of the pending Change of Control, the Company will be required to send, by electronic delivery or first class mail or otherwise in accordance with the procedures of the Depositary, a notice to each Holder of the Securities of this series, with a copy to the Trustee, which notice will govern the terms of the Change of Control Offer. Such notice will state, among other things, the purchase date, which must be no earlier than 30 days nor later than 60 days from the date such notice is delivered or mailed, other than as may be required by law (the “Change of Control Payment Date”). The notice, if delivered or mailed prior to the date of consummation of the Change of Control, will state that the Change of Control Offer is conditioned on the Change of Control being consummated on or prior to the Change of Control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electing to have Securities purchased pursuant to a Change of Control Offer will be required to surrender their Securities, with the form below entitled “Option of Holder to Elect Purchase” completed, to the paying agent at the address specified in the notice, or transfer their Securities to the paying agent by book-entry transfer pursuant to the applicable procedures of the paying agent, prior to the close of business on the third Business Day prior to the Change of Control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Company will, to the extent lawful: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accept for payment all Securities of this series (or portions of Securities of this series) properly tendered pursuant to the Change of Control Offer; provided that the unpurchased portion of any Security of this series must be in a principal amount of $2,000 or an integral multiple of $1,000 in excess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both"/>
              <w:rPr/>
            </w:pPr>
            <w:r>
              <w:rPr/>
              <w:t>deposit with the paying agent an amount equal to the aggregate payment in respect of all Securities of this series (or portions of Securities of this series) properly tendered pursuant to the Change of Control Offer;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deliver or cause to be delivered to the Trustee the Securities of this series properly accepted for purchase, together with an officer’s certificate stating the aggregate principal amount of Securities of this series (or portions of Securities of this series) being purchased.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mail to each Holder of properly tendered Securities the purchase price for the Securities, and the Trustee will promptly authenticate and mail (or cause to be transferred by book-entry) to each such Holder new Securities equal in principal amount to any unpurchased portion of any Securities surrendered; provided that each new Security will be in a principal amount of $2,000 or an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required to make a Change of Control Offer if a third party makes such an offer in the manner, at the times and otherwise in compliance with the requirements for such an offer made by the Company and such third-party purchases all properly tendered Securities of this series not withdrawn under its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comply with the requirements of Rule 14e-1 under the Exchange Act and any other securities laws and regulations thereunder to the extent those laws and regulations are applicable in connection with the purchase of the Securities of this series as a result of a Change of Control Triggering Event. To the extent that the provisions of any such securities laws or regulations conflict with the Change of Control Offer provisions of the Securities of this series, the Company will comply with the applicable securities laws and regulations and will not be deemed to have breached its obligations under the Change of Control Offer provisions of the Securities of this series by virtue of such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Change of Control Offer provisions of the Securities, the following terms will be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one of the following: (1) the direct or indirect sale, lease, transfer, conveyance or other disposition (other than by way of merger or consolidation), in one or more series of related transactions, of all or substantially all of the Company’s properties or assets and the properties or assets of its Subsidiaries, taken as a whole, to any “person” or “group” (as those terms are used in Section 13(d)(3) of the Exchange Act), other than the Company or one of its Subsidiaries; (2) the consummation of any transaction (including, without limitation, any merger or consolidation) the result of which is that any “person” or “group” (as those terms are used in Section 13(d)(3) of the Exchange Act) becomes the “beneficial owner” (as defined in Rules 13d-3 and 13d-5 of the Exchange Act), directly or indirectly, of the Company’s Voting Stock representing a majority of the voting power of our then outstanding Voting Stock; (3) the Company consolidates with, or merges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Voting Stock outstanding immediately prior to such transaction constitutes, or is converted into or exchanged for, Voting Stock representing a majority of the voting power of the Voting Stock of the surviving Person immediately after giving effect to such transaction; or (4) the adoption by the Company’s stockholders of a plan relating to the Company’s liquidation or dissolution. Notwithstanding the foregoing, a transaction (or series of related transactions)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(as those terms are used in Section 13(d)(3) of the Exchange Act) (other than a holding company satisfying the requirements of this sentence) is the beneficial owner (as defined in Rules 13d-3 and 13d-5 of the Exchange Act), directly or indirectly, of more than 50% of the Voting Stock of such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under clause (2) above if (i) the Company becomes a direct or indirect wholly-owned subsidiary of a holding company and (ii) the shares of the Voting Stock of the Company outstanding immediately prior to such transaction constitute, or are converted into or exchanged for, a majority of the Voting Stock of such holding company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the rating of the Securities is lowered by at least two of the three Rating Agencies below Investment Grade on any date during the period (the “Trigger Period”) commencing on the earlier of (a) the occurrence of a Change of Control and (b)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a Change of Control Triggering Event will not be deemed to have occurred in respect of a particular Change of Control if each applicable Rating Agency making the reduction in rating does not publicly announce or confirm or inform the Trustee at the Company’s or the Trustee’s request that the reduction was the result, in whole or in part, of any event or circumstance comprised of or arising as a result of, or in respect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means a rating of Baa3 or better by Moody’s (or its equivalent under any successor rating category of Moody’s) and a rating of BBB- or better by S&amp;P and Fitch (or its equivalent under any successor rating category of S&amp;P or Fitch, as applicable), and the equivalent investment grade credit rating from any replacement Rating Agency or Rating Agencies selected by the Company under the circumstances permitting the Company to select a replacement Rating Agency and in the manner for selecting a replacement Rating Agency, in each case as set forth in the definition of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 subsidiary of Moody’s Corporation,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means each of Fitch, Moody’s and S&amp;P; provided, that if Fitch, Moody’s or S&amp;P ceases to provide rating services to issuers or investors, the Company may appoint another “nationally recognized statistical rating organization” within the meaning of Section 3(a)(62) under the Exchange Act as a replacement for such Rating Agency; provided further, that the Company give notice of such appointment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Standard &amp; Poor’s Ratings Services, a Standard &amp; Poor’s Financial Services LLC business,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which is designated as the Corporate Trust Office of the Trustee in North Carolina,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shall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issuable only in registered form without coupons in denominations of $2,000 and any integral multiples of $1,000 thereof. As provided in the Indenture and subject to certain limitations therein set forth, Securities are exchangeable for a like aggregate principal amount of Securities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shall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Security shall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the conflicts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of Holder to Elect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Security purchased by the Company pursuant to Section 3.04 of the First Supplemental Indenture, check the box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Security purchased by the Company pursuant to Section 3.04 of the First Supplemental Indenture, state the amount you elect to have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w:t>
      </w:r>
    </w:p>
    <w:p>
      <w:pPr>
        <w:pStyle w:val="TextBody"/>
        <w:bidi w:val="0"/>
        <w:spacing w:before="0" w:after="0"/>
        <w:ind w:left="5850" w:right="0" w:hanging="153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310"/>
        <w:gridCol w:w="5150"/>
      </w:tblGrid>
      <w:tr>
        <w:trPr/>
        <w:tc>
          <w:tcPr>
            <w:tcW w:w="75"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b w:val="false"/>
                <w:sz w:val="20"/>
              </w:rPr>
            </w:pPr>
            <w:r>
              <w:rPr>
                <w:b w:val="false"/>
                <w:sz w:val="20"/>
              </w:rPr>
              <w:t>Your Signature:</w:t>
            </w:r>
          </w:p>
        </w:tc>
        <w:tc>
          <w:tcPr>
            <w:tcW w:w="515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pPr>
            <w:r>
              <w:rPr/>
              <w:t> </w:t>
            </w:r>
          </w:p>
        </w:tc>
        <w:tc>
          <w:tcPr>
            <w:tcW w:w="5150" w:type="dxa"/>
            <w:tcBorders/>
            <w:vAlign w:val="center"/>
          </w:tcPr>
          <w:p>
            <w:pPr>
              <w:pStyle w:val="TableContents"/>
              <w:bidi w:val="0"/>
              <w:spacing w:before="0" w:after="283"/>
              <w:jc w:val="both"/>
              <w:rPr>
                <w:b w:val="false"/>
                <w:sz w:val="20"/>
              </w:rPr>
            </w:pPr>
            <w:r>
              <w:rPr>
                <w:b w:val="false"/>
                <w:sz w:val="20"/>
              </w:rPr>
              <w:t>(Sign exactly as your name appears on the face of this Security)</w:t>
            </w:r>
          </w:p>
        </w:tc>
      </w:tr>
    </w:tbl>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880"/>
        <w:gridCol w:w="75"/>
      </w:tblGrid>
      <w:tr>
        <w:trPr/>
        <w:tc>
          <w:tcPr>
            <w:tcW w:w="7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left"/>
              <w:rPr>
                <w:b w:val="false"/>
                <w:sz w:val="20"/>
              </w:rPr>
            </w:pPr>
            <w:r>
              <w:rPr>
                <w:b w:val="false"/>
                <w:sz w:val="20"/>
              </w:rPr>
              <w:t>Tax Identification No.:</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895"/>
        <w:gridCol w:w="75"/>
      </w:tblGrid>
      <w:tr>
        <w:trPr/>
        <w:tc>
          <w:tcPr>
            <w:tcW w:w="189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b w:val="false"/>
                <w:sz w:val="20"/>
              </w:rPr>
            </w:pPr>
            <w:r>
              <w:rPr>
                <w:b w:val="false"/>
                <w:sz w:val="20"/>
              </w:rPr>
              <w:t>Signature Guarantee**</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b w:val="false"/>
                <w:sz w:val="20"/>
              </w:rPr>
            </w:pPr>
            <w:r>
              <w:rPr>
                <w:b w:val="false"/>
                <w:sz w:val="20"/>
              </w:rPr>
              <w: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Participant in a recognized Signature Guarantee Medallion Program (or other signature guarantor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agent to transfer this Security on the books of the Company.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545"/>
        <w:gridCol w:w="60"/>
        <w:gridCol w:w="60"/>
        <w:gridCol w:w="1535"/>
        <w:gridCol w:w="75"/>
      </w:tblGrid>
      <w:tr>
        <w:trPr/>
        <w:tc>
          <w:tcPr>
            <w:tcW w:w="545" w:type="dxa"/>
            <w:tcBorders/>
            <w:vAlign w:val="center"/>
          </w:tcPr>
          <w:p>
            <w:pPr>
              <w:pStyle w:val="TableContents"/>
              <w:bidi w:val="0"/>
              <w:spacing w:before="0" w:after="283"/>
              <w:jc w:val="both"/>
              <w:rPr>
                <w:b w:val="false"/>
              </w:rPr>
            </w:pPr>
            <w:r>
              <w:rPr>
                <w:b w:val="false"/>
              </w:rPr>
              <w:t>Date:</w:t>
            </w:r>
          </w:p>
        </w:tc>
        <w:tc>
          <w:tcPr>
            <w:tcW w:w="6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535" w:type="dxa"/>
            <w:tcBorders/>
            <w:vAlign w:val="center"/>
          </w:tcPr>
          <w:p>
            <w:pPr>
              <w:pStyle w:val="TableContents"/>
              <w:bidi w:val="0"/>
              <w:spacing w:before="0" w:after="283"/>
              <w:jc w:val="both"/>
              <w:rPr>
                <w:b w:val="false"/>
              </w:rPr>
            </w:pPr>
            <w:r>
              <w:rPr>
                <w:b w:val="false"/>
              </w:rPr>
              <w:t>Your Signature:</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485" w:type="dxa"/>
        <w:jc w:val="left"/>
        <w:tblInd w:w="0" w:type="dxa"/>
        <w:tblLayout w:type="fixed"/>
        <w:tblCellMar>
          <w:top w:w="0" w:type="dxa"/>
          <w:left w:w="0" w:type="dxa"/>
          <w:bottom w:w="28" w:type="dxa"/>
          <w:right w:w="0" w:type="dxa"/>
        </w:tblCellMar>
      </w:tblPr>
      <w:tblGrid>
        <w:gridCol w:w="6485"/>
      </w:tblGrid>
      <w:tr>
        <w:trPr/>
        <w:tc>
          <w:tcPr>
            <w:tcW w:w="6485" w:type="dxa"/>
            <w:tcBorders>
              <w:bottom w:val="single" w:sz="12" w:space="0" w:color="000000"/>
            </w:tcBorders>
            <w:vAlign w:val="center"/>
          </w:tcPr>
          <w:p>
            <w:pPr>
              <w:pStyle w:val="TableContents"/>
              <w:bidi w:val="0"/>
              <w:spacing w:before="0" w:after="283"/>
              <w:jc w:val="both"/>
              <w:rPr/>
            </w:pPr>
            <w:r>
              <w:rPr/>
              <w:t> </w:t>
            </w:r>
          </w:p>
        </w:tc>
      </w:tr>
      <w:tr>
        <w:trPr/>
        <w:tc>
          <w:tcPr>
            <w:tcW w:w="6485" w:type="dxa"/>
            <w:tcBorders/>
            <w:tcMar>
              <w:bottom w:w="0" w:type="dxa"/>
            </w:tcMar>
            <w:vAlign w:val="center"/>
          </w:tcPr>
          <w:p>
            <w:pPr>
              <w:pStyle w:val="TableContents"/>
              <w:bidi w:val="0"/>
              <w:spacing w:before="0" w:after="283"/>
              <w:jc w:val="both"/>
              <w:rPr>
                <w:b w:val="false"/>
              </w:rPr>
            </w:pPr>
            <w:r>
              <w:rPr>
                <w:b w:val="false"/>
              </w:rPr>
              <w:t>Sign exactly as your name appears on the other side of this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 TO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Security is $[●]. The following increases or decreases in this Global Security have been made:</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28" w:type="dxa"/>
          <w:right w:w="0" w:type="dxa"/>
        </w:tblCellMar>
      </w:tblPr>
      <w:tblGrid>
        <w:gridCol w:w="1520"/>
        <w:gridCol w:w="60"/>
        <w:gridCol w:w="1790"/>
        <w:gridCol w:w="60"/>
        <w:gridCol w:w="1745"/>
        <w:gridCol w:w="60"/>
        <w:gridCol w:w="1565"/>
        <w:gridCol w:w="60"/>
        <w:gridCol w:w="1850"/>
      </w:tblGrid>
      <w:tr>
        <w:trPr/>
        <w:tc>
          <w:tcPr>
            <w:tcW w:w="15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Exchange</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of decrease </w:t>
              <w:br/>
              <w:t xml:space="preserve">in Principal Amount </w:t>
              <w:br/>
              <w:t xml:space="preserve">of this Global </w:t>
              <w:br/>
              <w:t>Security</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of increase </w:t>
              <w:br/>
              <w:t>in Principal Amount</w:t>
              <w:br/>
              <w:t xml:space="preserve">of this Global </w:t>
              <w:br/>
              <w:t>Security</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Principal amount </w:t>
              <w:br/>
              <w:t>of this Global</w:t>
              <w:br/>
              <w:t>Security following</w:t>
              <w:br/>
              <w:t>such 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Signature of </w:t>
              <w:br/>
              <w:t xml:space="preserve">authorized signatory </w:t>
              <w:br/>
              <w:t xml:space="preserve">of Trustee or </w:t>
              <w:br/>
              <w:t>Securities Custodian</w:t>
            </w:r>
          </w:p>
        </w:tc>
      </w:tr>
      <w:tr>
        <w:trPr/>
        <w:tc>
          <w:tcPr>
            <w:tcW w:w="15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r>
      <w:r>
        <w:rPr>
          <w:rFonts w:ascii="Times New Roman;Times;Serif" w:hAnsi="Times New Roman;Times;Serif"/>
          <w:b/>
          <w:i w:val="false"/>
          <w:caps/>
          <w:sz w:val="20"/>
        </w:rPr>
        <w:t>Form of 5.400% Note Due 2036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Senior Note due 2036</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965"/>
        <w:gridCol w:w="725"/>
      </w:tblGrid>
      <w:tr>
        <w:trPr/>
        <w:tc>
          <w:tcPr>
            <w:tcW w:w="965" w:type="dxa"/>
            <w:tcBorders/>
            <w:vAlign w:val="center"/>
          </w:tcPr>
          <w:p>
            <w:pPr>
              <w:pStyle w:val="TableContents"/>
              <w:bidi w:val="0"/>
              <w:spacing w:before="0" w:after="283"/>
              <w:jc w:val="left"/>
              <w:rPr>
                <w:b w:val="false"/>
              </w:rPr>
            </w:pPr>
            <w:r>
              <w:rPr>
                <w:b w:val="false"/>
              </w:rPr>
              <w:t>No. [___]</w:t>
            </w:r>
          </w:p>
        </w:tc>
        <w:tc>
          <w:tcPr>
            <w:tcW w:w="725" w:type="dxa"/>
            <w:tcBorders/>
            <w:vAlign w:val="center"/>
          </w:tcPr>
          <w:p>
            <w:pPr>
              <w:pStyle w:val="TableContents"/>
              <w:bidi w:val="0"/>
              <w:spacing w:before="0" w:after="283"/>
              <w:jc w:val="right"/>
              <w:rPr>
                <w:b w:val="false"/>
              </w:rPr>
            </w:pPr>
            <w:r>
              <w:rPr>
                <w:b w:val="false"/>
              </w:rPr>
              <w:t>$ [___]</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422806 AD1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US422806AD15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duly organized and existing under the laws of the State of Florida (herein called the “Company,” which term includes any successor Person under the Indenture hereinafter referred to), for value received, hereby promises to pay to Cede &amp; Co., or registered assigns, the principal sum listed on the Schedule of Increases or Decreases in Global Security attached hereto on August 1, 2036 and to pay interest thereon from July 16, 2026 or from the most recent Interest Payment Date to which interest has been paid or duly provided for, semiannually in arrears on February 1 and August 1 in each year, commencing February 1, 2027 at the rate of 5.400% per annum, until the principal hereof is paid or duly provided for, provided, however, that any principal and premium, and any such installment of interest, which is overdue shall bear interest at the rate of 5.400% per annum (to the extent that the payment of such interest shall be legally enforceable), from the dates such amounts are due until they are paid or duly provided for. The interest so payable and punctually paid or duly provided for, on any Interest Payment Date shall, as provided in the Indenture, be paid to the Person in whose name this Security (or one or more predecessor Securities) is registered at the close of business on the Regular Record Date for such interest, which shall be January 15 and July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interest on this Security shall be made at the office or agency of the Company maintained for that purpose in the Borough of Manhattan, The City of New York,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this Security shall not be entitled to any benefit under the Indenture or be valid or obligatory for any 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Security to be duly executed.</w:t>
      </w:r>
    </w:p>
    <w:p>
      <w:pPr>
        <w:pStyle w:val="TextBody"/>
        <w:bidi w:val="0"/>
        <w:spacing w:before="0" w:after="0"/>
        <w:ind w:left="0" w:right="0" w:firstLine="72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both"/>
              <w:rPr>
                <w:b/>
                <w:sz w:val="20"/>
              </w:rPr>
            </w:pPr>
            <w:r>
              <w:rPr>
                <w:b/>
                <w:sz w:val="20"/>
              </w:rPr>
              <w:t>HEICO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940" w:type="dxa"/>
            <w:gridSpan w:val="3"/>
            <w:tcBorders/>
            <w:vAlign w:val="center"/>
          </w:tcPr>
          <w:p>
            <w:pPr>
              <w:pStyle w:val="TableContents"/>
              <w:bidi w:val="0"/>
              <w:spacing w:before="0" w:after="283"/>
              <w:jc w:val="both"/>
              <w:rPr>
                <w:b w:val="false"/>
                <w:sz w:val="20"/>
              </w:rPr>
            </w:pPr>
            <w:r>
              <w:rPr>
                <w:b w:val="false"/>
                <w:sz w:val="20"/>
              </w:rPr>
              <w:t>Attest: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9260"/>
        <w:gridCol w:w="75"/>
      </w:tblGrid>
      <w:tr>
        <w:trPr/>
        <w:tc>
          <w:tcPr>
            <w:tcW w:w="9260" w:type="dxa"/>
            <w:tcBorders/>
            <w:vAlign w:val="center"/>
          </w:tcPr>
          <w:p>
            <w:pPr>
              <w:pStyle w:val="TableContents"/>
              <w:bidi w:val="0"/>
              <w:spacing w:before="0" w:after="283"/>
              <w:jc w:val="left"/>
              <w:rPr>
                <w:b w:val="false"/>
                <w:sz w:val="20"/>
              </w:rPr>
            </w:pPr>
            <w:r>
              <w:rPr>
                <w:b w:val="false"/>
                <w:sz w:val="20"/>
              </w:rPr>
              <w:t>TRUSTEE’S CERTIFICATE OF AUTHENTICATION</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both"/>
              <w:rPr>
                <w:b w:val="false"/>
                <w:sz w:val="20"/>
              </w:rPr>
            </w:pPr>
            <w:r>
              <w:rPr>
                <w:b w:val="false"/>
                <w:sz w:val="20"/>
              </w:rPr>
              <w:t>This is one of the debt Securities of the series designated herein and referred to in the within-mentioned Indenture.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both"/>
              <w:rPr>
                <w:b w:val="false"/>
                <w:sz w:val="20"/>
              </w:rPr>
            </w:pPr>
            <w:r>
              <w:rPr>
                <w:b w:val="false"/>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1400"/>
        <w:gridCol w:w="75"/>
      </w:tblGrid>
      <w:tr>
        <w:trPr/>
        <w:tc>
          <w:tcPr>
            <w:tcW w:w="1400" w:type="dxa"/>
            <w:tcBorders/>
            <w:vAlign w:val="center"/>
          </w:tcPr>
          <w:p>
            <w:pPr>
              <w:pStyle w:val="TableContents"/>
              <w:bidi w:val="0"/>
              <w:spacing w:before="0" w:after="283"/>
              <w:jc w:val="both"/>
              <w:rPr>
                <w:b/>
                <w:sz w:val="20"/>
              </w:rPr>
            </w:pPr>
            <w:r>
              <w:rPr>
                <w:b/>
                <w:sz w:val="20"/>
              </w:rPr>
              <w:t>TRUIST BANK,</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both"/>
              <w:rPr>
                <w:b w:val="false"/>
                <w:sz w:val="20"/>
              </w:rPr>
            </w:pPr>
            <w:r>
              <w:rPr>
                <w:b w:val="false"/>
                <w:sz w:val="20"/>
              </w:rPr>
              <w:t>as Trustee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both"/>
              <w:rPr>
                <w:b w:val="false"/>
                <w:sz w:val="20"/>
              </w:rPr>
            </w:pPr>
            <w:r>
              <w:rPr>
                <w:b w:val="false"/>
                <w:sz w:val="20"/>
              </w:rPr>
              <w:t>By:</w:t>
            </w:r>
          </w:p>
        </w:tc>
        <w:tc>
          <w:tcPr>
            <w:tcW w:w="17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b w:val="false"/>
                <w:sz w:val="20"/>
              </w:rPr>
            </w:pPr>
            <w:r>
              <w:rPr>
                <w:b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Reverse of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designated as 5.400% Senior Notes due 2036 (herein called the “Securities”), initially limited in aggregate principal amount on the Issue Date to $650,000,000 issued and to be issued under an Indenture, dated as of July 16, 2026, as supplemented (herein called the “Indenture,” which term shall have the meaning assigned to it in such instrument), between the Company and Truist Bank,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include those expressly set forth in the Indenture and those made part of the Indenture by reference to the Trust Indenture Act of 1939, as amended (the “Trust Indenture Act”). Terms defined in the Indenture and not defined herein have the meanings ascribed thereto in the Indenture. Notwithstanding anything to the contrary herein, the Securities are subject to all such terms, and Holders of Securities are referred to the Indenture and the Trust Indenture Act for a statement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 2036 (the “Par Call Date”), the Company may redeem the Securities at its option, in whole or in part, at any time and from time to time, at a Redemption Price (expressed as a percentage of principal amount and rounded to three decimal places) equal to the greater of:</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principal amount of the Securities to be redeemed, plus, in either case, accrued and unpaid interest thereon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in whole or in part, at any time and from time to time, at a Redemption Price equal to 100% of the principal amount of the Securities being redeemed plus accrued and unpaid interest thereon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legal defeasance at any time of the entire indebtedness of this Security or for covenant defeasance of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there may be declared due and payable the principal of, premium, if any, and accrued and unpaid interest, if any, on all of the outstanding Securities,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not less than 25.0% in aggregate principal amount of the Securities at the time Outstanding shall have made written request to the Trustee to institute proceedings in respect of such Event of Default as Trustee and offered the Trustee indemnity satisfactory to the Trustee and the Trustee shall not have received from the Holders of a majority in aggregate principal amount of Securities at the time Outstanding a direction inconsistent with such request, and shall have failed to institute any such proceeding for 60 days after receipt of such notice, request and offer of indemnity. The foregoing shall not apply to certain suits described in the Indenture, including any suit instituted by the Holder of this Security for the enforcement of any payment of principal hereof or any premium or interest hereon on or after the respective due dates expressed herein (or, in the case of redemption, on or after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subject to redemption upon the occurrence of a Change of Control Triggering Event. Unless the Company has exercised its right to redeem this Security in full as described above, the Indenture provides that each Holder of the Securities of this series will have the right to require the Company to purchase all or a portion of such Holder’s Securities of this series pursuant to the offer described below (the “Change of Control Offer”) at a purchase price equal to 101% of the principal amount thereof plus accrued and unpaid interest, if any, to the date of purchase, subject to the rights of Holders of Securities of this series on the relevant record date to receive interest due on the relevant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the date upon which the Change of Control Triggering Event occurred, or at the Company’s option, prior to any Change of Control but after the public announcement of the pending Change of Control, the Company will be required to send, by electronic delivery or first class mail or otherwise in accordance with the procedures of the Depositary, a notice to each Holder of the Securities of this series, with a copy to the Trustee, which notice will govern the terms of the Change of Control Offer. Such notice will state, among other things, the purchase date, which must be no earlier than 30 days nor later than 60 days from the date such notice is delivered or mailed, other than as may be required by law (the “Change of Control Payment Date”). The notice, if delivered or mailed prior to the date of consummation of the Change of Control, will state that the Change of Control Offer is conditioned on the Change of Control being consummated on or prior to the Change of Control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B-4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electing to have Securities purchased pursuant to a Change of Control Offer will be required to surrender their Securities, with the form below entitled “Option of Holder to Elect Purchase” completed, to the paying agent at the address specified in the notice, or transfer their Securities to the paying agent by book-entry transfer pursuant to the applicable procedures of the paying agent, prior to the close of business on the third Business Day prior to the Change of Control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Company will, to the extent lawful: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accept for payment all Securities of this series (or portions of Securities of this series) properly tendered pursuant to the Change of Control Offer; provided that the unpurchased portion of any Security of this series must be in a principal amount of $2,000 or an integral multiple of $1,000 in excess thereof;</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283"/>
              <w:jc w:val="both"/>
              <w:rPr/>
            </w:pPr>
            <w:r>
              <w:rPr/>
              <w:t>deposit with the paying agent an amount equal to the aggregate payment in respect of all Securities of this series (or portions of Securities of this series) properly tendered pursuant to the Change of Control Offer;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6.</w:t>
            </w:r>
          </w:p>
        </w:tc>
        <w:tc>
          <w:tcPr>
            <w:tcW w:w="10006" w:type="dxa"/>
            <w:tcBorders/>
            <w:vAlign w:val="center"/>
          </w:tcPr>
          <w:p>
            <w:pPr>
              <w:pStyle w:val="TableContents"/>
              <w:bidi w:val="0"/>
              <w:spacing w:before="0" w:after="283"/>
              <w:jc w:val="both"/>
              <w:rPr/>
            </w:pPr>
            <w:r>
              <w:rPr/>
              <w:t>deliver or cause to be delivered to the Trustee the Securities of this series properly accepted for purchase, together with an officer’s certificate stating the aggregate principal amount of Securities of this series (or portions of Securities of this series) being purchased.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mail to each Holder of properly tendered Securities the purchase price for the Securities, and the Trustee will promptly authenticate and mail (or cause to be transferred by book-entry) to each such Holder new Securities equal in principal amount to any unpurchased portion of any Securities surrendered; provided that each new Security will be in a principal amount of $2,000 or an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required to make a Change of Control Offer if a third party makes such an offer in the manner, at the times and otherwise in compliance with the requirements for such an offer made by the Company and such third-party purchases all properly tendered Securities of this series not withdrawn under its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comply with the requirements of Rule 14e-1 under the Exchange Act and any other securities laws and regulations thereunder to the extent those laws and regulations are applicable in connection with the purchase of the Securities of this series as a result of a Change of Control Triggering Event. To the extent that the provisions of any such securities laws or regulations conflict with the Change of Control Offer provisions of the Securities of this series, the Company will comply with the applicable securities laws and regulations and will not be deemed to have breached its obligations under the Change of Control Offer provisions of the Securities of this series by virtue of such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Change of Control Offer provisions of the Securities, the following terms will be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B-5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one of the following: (1) the direct or indirect sale, lease, transfer, conveyance or other disposition (other than by way of merger or consolidation), in one or more series of related transactions, of all or substantially all of the Company’s properties or assets and the properties or assets of its Subsidiaries, taken as a whole, to any “person” or “group” (as those terms are used in Section 13(d)(3) of the Exchange Act), other than the Company or one of its Subsidiaries; (2) the consummation of any transaction (including, without limitation, any merger or consolidation) the result of which is that any “person” or “group” (as those terms are used in Section 13(d)(3) of the Exchange Act) becomes the “beneficial owner” (as defined in Rules 13d-3 and 13d-5 of the Exchange Act), directly or indirectly, of the Company’s Voting Stock representing a majority of the voting power of our then outstanding Voting Stock; (3) the Company consolidates with, or merges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Voting Stock outstanding immediately prior to such transaction constitutes, or is converted into or exchanged for, Voting Stock representing a majority of the voting power of the Voting Stock of the surviving Person immediately after giving effect to such transaction; or (4) the adoption by the Company’s stockholders of a plan relating to the Company’s liquidation or dissolution. Notwithstanding the foregoing, a transaction (or series of related transactions)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or “group” (as those terms are used in Section 13(d)(3) of the Exchange Act) (other than a holding company satisfying the requirements of this sentence) is the beneficial owner (as defined in Rules 13d-3 and 13d-5 of the Exchange Act), directly or indirectly, of more than 50% of the Voting Stock of such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under clause (2) above if (i) the Company becomes a direct or indirect wholly-owned subsidiary of a holding company and (ii) the shares of the Voting Stock of the Company outstanding immediately prior to such transaction constitute, or are converted into or exchanged for, a majority of the Voting Stock of such holding company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the rating of the Securities is lowered by at least two of the three Rating Agencies below Investment Grade on any date during the period (the “Trigger Period”) commencing on the earlier of (a) the occurrence of a Change of Control and (b)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a Change of Control Triggering Event will not be deemed to have occurred in respect of a particular Change of Control if each applicable Rating Agency making the reduction in rating does not publicly announce or confirm or inform the Trustee at the Company’s or the Trustee’s request that the reduction was the result, in whole or in part, of any event or circumstance comprised of or arising as a result of, or in respect of, the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B-6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means a rating of Baa3 or better by Moody’s (or its equivalent under any successor rating category of Moody’s) and a rating of BBB- or better by S&amp;P and Fitch (or its equivalent under any successor rating category of S&amp;P or Fitch, as applicable), and the equivalent investment grade credit rating from any replacement Rating Agency or Rating Agencies selected by the Company under the circumstances permitting the Company to select a replacement Rating Agency and in the manner for selecting a replacement Rating Agency, in each case as set forth in the definition of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 subsidiary of Moody’s Corporation,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means each of Fitch, Moody’s and S&amp;P; provided, that if Fitch, Moody’s or S&amp;P ceases to provide rating services to issuers or investors, the Company may appoint another “nationally recognized statistical rating organization” within the meaning of Section 3(a)(62) under the Exchange Act as a replacement for such Rating Agency; provided further, that the Company give notice of such appointment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Standard &amp; Poor’s Ratings Services, a Standard &amp; Poor’s Financial Services LLC business, and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which is designated as the Corporate Trust Office of the Trustee in North Carolina,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shall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B-7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issuable only in registered form without coupons in denominations of $2,000 and any integral multiples of $1,000 thereof. As provided in the Indenture and subject to certain limitations therein set forth, Securities are exchangeable for a like aggregate principal amount of Securities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shall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Security shall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the conflicts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B-8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of Holder to Elect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Security purchased by the Company pursuant to Section 3.04 of the First Supplemental Indenture, check the box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Security purchased by the Company pursuant to Section 3.04 of the First Supplemental Indenture, state the amount you elect to have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w:t>
      </w:r>
    </w:p>
    <w:p>
      <w:pPr>
        <w:pStyle w:val="TextBody"/>
        <w:bidi w:val="0"/>
        <w:spacing w:before="0" w:after="0"/>
        <w:ind w:left="5580" w:right="0" w:hanging="126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310"/>
        <w:gridCol w:w="5150"/>
      </w:tblGrid>
      <w:tr>
        <w:trPr/>
        <w:tc>
          <w:tcPr>
            <w:tcW w:w="75"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b w:val="false"/>
                <w:sz w:val="20"/>
              </w:rPr>
            </w:pPr>
            <w:r>
              <w:rPr>
                <w:b w:val="false"/>
                <w:sz w:val="20"/>
              </w:rPr>
              <w:t>Your Signature:</w:t>
            </w:r>
          </w:p>
        </w:tc>
        <w:tc>
          <w:tcPr>
            <w:tcW w:w="515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pPr>
            <w:r>
              <w:rPr/>
              <w:t> </w:t>
            </w:r>
          </w:p>
        </w:tc>
        <w:tc>
          <w:tcPr>
            <w:tcW w:w="5150" w:type="dxa"/>
            <w:tcBorders/>
            <w:vAlign w:val="center"/>
          </w:tcPr>
          <w:p>
            <w:pPr>
              <w:pStyle w:val="TableContents"/>
              <w:bidi w:val="0"/>
              <w:spacing w:before="0" w:after="283"/>
              <w:jc w:val="both"/>
              <w:rPr>
                <w:b w:val="false"/>
                <w:sz w:val="20"/>
              </w:rPr>
            </w:pPr>
            <w:r>
              <w:rPr>
                <w:b w:val="false"/>
                <w:sz w:val="20"/>
              </w:rPr>
              <w:t>(Sign exactly as your name appears on the face of this Security)</w:t>
            </w:r>
          </w:p>
        </w:tc>
      </w:tr>
    </w:tbl>
    <w:p>
      <w:pPr>
        <w:pStyle w:val="TextBody"/>
        <w:bidi w:val="0"/>
        <w:spacing w:before="0" w:after="0"/>
        <w:ind w:left="5130" w:right="0" w:hanging="153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880"/>
        <w:gridCol w:w="75"/>
      </w:tblGrid>
      <w:tr>
        <w:trPr/>
        <w:tc>
          <w:tcPr>
            <w:tcW w:w="7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left"/>
              <w:rPr>
                <w:b w:val="false"/>
                <w:sz w:val="20"/>
              </w:rPr>
            </w:pPr>
            <w:r>
              <w:rPr>
                <w:b w:val="false"/>
                <w:sz w:val="20"/>
              </w:rPr>
              <w:t>Tax Identification No.:</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895"/>
        <w:gridCol w:w="75"/>
      </w:tblGrid>
      <w:tr>
        <w:trPr/>
        <w:tc>
          <w:tcPr>
            <w:tcW w:w="189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b w:val="false"/>
                <w:sz w:val="20"/>
              </w:rPr>
            </w:pPr>
            <w:r>
              <w:rPr>
                <w:b w:val="false"/>
                <w:sz w:val="20"/>
              </w:rPr>
              <w:t>Signature Guarantee**</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b w:val="false"/>
                <w:sz w:val="20"/>
              </w:rPr>
            </w:pPr>
            <w:r>
              <w:rPr>
                <w:b w:val="false"/>
                <w:sz w:val="20"/>
              </w:rPr>
              <w: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pPr>
            <w:r>
              <w:rPr/>
              <w:t>Participant in a recognized Signature Guarantee Medallion Program (or other signature guarantor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B-9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agent to transfer this Security on the books of the Company.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470"/>
        <w:gridCol w:w="60"/>
        <w:gridCol w:w="60"/>
        <w:gridCol w:w="1310"/>
        <w:gridCol w:w="75"/>
      </w:tblGrid>
      <w:tr>
        <w:trPr/>
        <w:tc>
          <w:tcPr>
            <w:tcW w:w="470" w:type="dxa"/>
            <w:tcBorders/>
            <w:vAlign w:val="center"/>
          </w:tcPr>
          <w:p>
            <w:pPr>
              <w:pStyle w:val="TableContents"/>
              <w:bidi w:val="0"/>
              <w:spacing w:before="0" w:after="283"/>
              <w:jc w:val="both"/>
              <w:rPr>
                <w:b w:val="false"/>
                <w:sz w:val="20"/>
              </w:rPr>
            </w:pPr>
            <w:r>
              <w:rPr>
                <w:b w:val="false"/>
                <w:sz w:val="20"/>
              </w:rPr>
              <w:t>Date:</w:t>
            </w:r>
          </w:p>
        </w:tc>
        <w:tc>
          <w:tcPr>
            <w:tcW w:w="6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b w:val="false"/>
                <w:sz w:val="20"/>
              </w:rPr>
            </w:pPr>
            <w:r>
              <w:rPr>
                <w:b w:val="false"/>
                <w:sz w:val="20"/>
              </w:rPr>
              <w:t>Your Signature:</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55" w:type="dxa"/>
        <w:jc w:val="left"/>
        <w:tblInd w:w="0" w:type="dxa"/>
        <w:tblLayout w:type="fixed"/>
        <w:tblCellMar>
          <w:top w:w="0" w:type="dxa"/>
          <w:left w:w="0" w:type="dxa"/>
          <w:bottom w:w="28" w:type="dxa"/>
          <w:right w:w="0" w:type="dxa"/>
        </w:tblCellMar>
      </w:tblPr>
      <w:tblGrid>
        <w:gridCol w:w="5555"/>
      </w:tblGrid>
      <w:tr>
        <w:trPr/>
        <w:tc>
          <w:tcPr>
            <w:tcW w:w="5555" w:type="dxa"/>
            <w:tcBorders>
              <w:bottom w:val="single" w:sz="12" w:space="0" w:color="000000"/>
            </w:tcBorders>
            <w:vAlign w:val="center"/>
          </w:tcPr>
          <w:p>
            <w:pPr>
              <w:pStyle w:val="TableContents"/>
              <w:bidi w:val="0"/>
              <w:spacing w:before="0" w:after="283"/>
              <w:jc w:val="both"/>
              <w:rPr/>
            </w:pPr>
            <w:r>
              <w:rPr/>
              <w:t> </w:t>
            </w:r>
          </w:p>
        </w:tc>
      </w:tr>
      <w:tr>
        <w:trPr/>
        <w:tc>
          <w:tcPr>
            <w:tcW w:w="5555" w:type="dxa"/>
            <w:tcBorders/>
            <w:tcMar>
              <w:bottom w:w="0" w:type="dxa"/>
            </w:tcMar>
            <w:vAlign w:val="center"/>
          </w:tcPr>
          <w:p>
            <w:pPr>
              <w:pStyle w:val="TableContents"/>
              <w:bidi w:val="0"/>
              <w:spacing w:before="0" w:after="283"/>
              <w:jc w:val="both"/>
              <w:rPr>
                <w:b w:val="false"/>
                <w:sz w:val="20"/>
              </w:rPr>
            </w:pPr>
            <w:r>
              <w:rPr>
                <w:b w:val="false"/>
                <w:sz w:val="20"/>
              </w:rPr>
              <w:t>Sign exactly as your name appears on the other side of this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B-10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 TO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Security is $[●]. The following increases or decreases in this Global Security have been made:</w:t>
      </w:r>
    </w:p>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28" w:type="dxa"/>
          <w:right w:w="0" w:type="dxa"/>
        </w:tblCellMar>
      </w:tblPr>
      <w:tblGrid>
        <w:gridCol w:w="1520"/>
        <w:gridCol w:w="60"/>
        <w:gridCol w:w="1790"/>
        <w:gridCol w:w="60"/>
        <w:gridCol w:w="1790"/>
        <w:gridCol w:w="60"/>
        <w:gridCol w:w="1745"/>
        <w:gridCol w:w="60"/>
        <w:gridCol w:w="2030"/>
      </w:tblGrid>
      <w:tr>
        <w:trPr/>
        <w:tc>
          <w:tcPr>
            <w:tcW w:w="15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Exchange</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 decrease</w:t>
              <w:br/>
              <w:t xml:space="preserve">in Principal Amount </w:t>
              <w:br/>
              <w:t xml:space="preserve">of this Global </w:t>
              <w:br/>
              <w:t>Security</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of increase </w:t>
              <w:br/>
              <w:t xml:space="preserve">in Principal Amount </w:t>
              <w:br/>
              <w:t xml:space="preserve">of this Global </w:t>
              <w:br/>
              <w:t>Security</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 of</w:t>
              <w:br/>
              <w:t>this Global Security</w:t>
              <w:br/>
              <w:t>following such</w:t>
              <w:br/>
              <w:t>decrease or increase</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 of authorized</w:t>
              <w:br/>
              <w:t>signatory of Trustee or</w:t>
              <w:br/>
              <w:t>Securities Custodian</w:t>
            </w:r>
          </w:p>
        </w:tc>
      </w:tr>
      <w:tr>
        <w:trPr/>
        <w:tc>
          <w:tcPr>
            <w:tcW w:w="15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0"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B-11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br/>
      </w:r>
      <w:r>
        <w:rPr>
          <w:rFonts w:ascii="Times New Roman;Times;Serif" w:hAnsi="Times New Roman;Times;Serif"/>
          <w:b/>
          <w:i w:val="false"/>
          <w:caps/>
          <w:sz w:val="20"/>
        </w:rPr>
        <w:t>Form of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DELIVERED BY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[_________] SUPPLEMENTAL INDENTURE</w:t>
      </w:r>
      <w:r>
        <w:rPr>
          <w:rFonts w:ascii="Times New Roman;Times;Serif" w:hAnsi="Times New Roman;Times;Serif"/>
          <w:b w:val="false"/>
          <w:i w:val="false"/>
          <w:caps w:val="false"/>
          <w:smallCaps w:val="false"/>
          <w:sz w:val="20"/>
        </w:rPr>
        <w:t>, dated as of [●]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between [__________]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Truist Bank, a North Carolina banking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HEICO Corporation, a Florida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executed and delivered to the Trustee an Indenture, dated as of July 16, 2026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as supplemented by the First Supplemental Indenture thereto, dated as of July 16, 2026 (the “</w:t>
      </w: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and the Base Indenture, as amended and supplemented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by the Company of its 4.950%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and 5.400%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2031 Notes,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First Supplemental Indenture provides that, under certain circumstances, the Guarantor shall execute and deliver to the Trustee a supplemental indenture pursuant to which the Guarantor shall unconditionally guarantee all of the Company’s obligations under the Securities and the Indenture 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things necessary to make this Supplemental Indenture a valid agreement of the Guarantor and the Trustee, in accordance with its terms, and a valid amendment of, and supplement to, the Indenture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purchase and acceptance of the Securities by the Holders thereof, the Guarantor covenants and agrees with the Trustee, for the equal and ratable benefit of the Holders, that the Indenture is supplemented and amended, to the extent expressed herein as follows: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Capitalized terms used herein and not otherwise defined shall have the respective meanings ascribed thereto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rules of construction set forth in the Indenture shall be applied hereto as if set forth in full herein.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bdr w:val="single" w:sz="12" w:space="1" w:color="000000"/>
        </w:rPr>
      </w:pPr>
      <w:r>
        <w:rPr>
          <w:bdr w:val="single" w:sz="12" w:space="1" w:color="000000"/>
        </w:rPr>
        <w:t>C-1</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Agreement to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accordance with Section 4.03 of the First Supplemental Indenture, the Guarantor jointly and severally, with any other Guarantors, and fully and unconditionally guarantees to each Holder of a Security authenticated and delivered by the Trustee and to the Trustee and its successors and assigns, irrespective of the validity and enforceability of the Indenture, the Securities or the obligations of the Company hereunder or thereunder, that:</w:t>
      </w:r>
    </w:p>
    <w:p>
      <w:pPr>
        <w:pStyle w:val="TextBody"/>
        <w:shd w:fill="FFFFFF" w:val="clear"/>
        <w:bidi w:val="0"/>
        <w:spacing w:before="0" w:after="0"/>
        <w:ind w:left="144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66"/>
        <w:gridCol w:w="1000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(i)</w:t>
            </w:r>
          </w:p>
        </w:tc>
        <w:tc>
          <w:tcPr>
            <w:tcW w:w="10002" w:type="dxa"/>
            <w:tcBorders/>
            <w:shd w:fill="FFFFFF" w:val="clear"/>
            <w:vAlign w:val="center"/>
          </w:tcPr>
          <w:p>
            <w:pPr>
              <w:pStyle w:val="TableContents"/>
              <w:bidi w:val="0"/>
              <w:spacing w:before="0" w:after="283"/>
              <w:jc w:val="both"/>
              <w:rPr/>
            </w:pPr>
            <w:r>
              <w:rPr/>
              <w:t>the principal of, premium, if any, and interest on the Securities shall be promptly paid in full when due, whether at maturity, by acceleration, redemption or otherwise, and interest on the overdue principal of, premium, if any, and interest on the Securities, if lawful (subject in all cases to any applicable grace period provided in the Indenture), and all other obligations of the Company to the Holders or the Trustee under the Securities or under the Indenture, including any obligations to repurchase Securities from the Holders, will be promptly paid in full or performed, all in accordance with the terms hereof and thereof; and</w:t>
            </w:r>
          </w:p>
        </w:tc>
      </w:tr>
    </w:tbl>
    <w:p>
      <w:pPr>
        <w:pStyle w:val="TextBody"/>
        <w:shd w:fill="FFFFFF" w:val="clear"/>
        <w:bidi w:val="0"/>
        <w:spacing w:before="0" w:after="0"/>
        <w:ind w:left="1440" w:right="0" w:hanging="72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227"/>
        <w:gridCol w:w="9941"/>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pPr>
            <w:r>
              <w:rPr/>
              <w:t>(ii)</w:t>
            </w:r>
          </w:p>
        </w:tc>
        <w:tc>
          <w:tcPr>
            <w:tcW w:w="9941" w:type="dxa"/>
            <w:tcBorders/>
            <w:shd w:fill="FFFFFF" w:val="clear"/>
            <w:vAlign w:val="center"/>
          </w:tcPr>
          <w:p>
            <w:pPr>
              <w:pStyle w:val="TableContents"/>
              <w:bidi w:val="0"/>
              <w:spacing w:before="0" w:after="283"/>
              <w:jc w:val="both"/>
              <w:rPr/>
            </w:pPr>
            <w:r>
              <w:rPr/>
              <w:t>in case of any extension of time of payment or renewal of any Securities or any of such other obligations, the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 shall be jointly and severally obligated to pay the same immediately. The Guarantor agrees that this is a guarantee of payment and not a guarantee of collection.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hereby agrees that, to the maximum extent permitted under applicable law, its obligations hereunder shall be unconditional, irrespective of the validity, regularity or enforceability of the Securities or the Indenture, the absence of any action to enforce the same, any waiver or consent by any Holder of the Securities with respect to any provisions hereof or thereof, the recovery of any judgment against the Company, any action to enforce the same or any other circumstance that might otherwise constitute a legal or equitable discharge or defense of the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Guarantor hereby waives diligence, presentment, demand of payment, filing of claims with a court in the event of insolvency or bankruptcy of the Company, any right to require a proceeding first against the Company, protest, notice and all demands whatsoever and covenants that this Guarantee shall not be discharged except by complete performance of the obligations contained in the Securities and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Guarantor agrees that if any Holder or the Trustee is required by any court or otherwise to return to the Company, the Guarantors, or any custodian, trustee, liquidator or other similar official acting in relation to any of the Company or the Guarantors, any amount paid by any of them to the Trustee or such Holder, this Guarantee, to the extent theretofore discharged, shall be reinstated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Guarantor agrees that it shall not be entitled to any right of subrogation in relation to the Holders in respect of any obligations guaranteed hereby until payment in full of all obligations guaranteed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Guarantor agrees that, as between the Guarantors, on the one hand, and the Holders and the Trustee, on the other hand, (x) the maturity of the obligations guaranteed hereby may be accelerated as provided in Article V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V of the Indenture, such obligations (whether or not due and payable) shall forthwith become due and payable by the Guarantor for the purpose of this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Guarantor makes a payment under its Guarantee, the Guarantor shall have the right to seek contribution from any non-paying Guarantor, so long as the exercise of such right does not impair the rights of the Holders under the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Guarantor confirms that the maximum aggregate amount guaranteed hereunder shall not exceed the maximum amount that can be hereby guaranteed without rendering this Guarantee voidable under applicable law relating to fraudulent conveyance or fraudulent transfer or similar laws affecting the rights of creditors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Execution and Delivery</w:t>
      </w:r>
      <w:r>
        <w:rPr>
          <w:rFonts w:ascii="Times New Roman;Times;Serif" w:hAnsi="Times New Roman;Times;Serif"/>
          <w:b w:val="false"/>
          <w:i w:val="false"/>
          <w:caps w:val="false"/>
          <w:smallCaps w:val="false"/>
          <w:sz w:val="20"/>
        </w:rPr>
        <w:t>. The Guarantor agrees that the Guarantee shall remain in full force and effect notwithstanding any failure to endorse on each Security a notation of such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Guarantors May Consolidate, Etc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on Certain Terms.</w:t>
      </w:r>
      <w:r>
        <w:rPr>
          <w:rFonts w:ascii="Times New Roman;Times;Serif" w:hAnsi="Times New Roman;Times;Serif"/>
          <w:b w:val="false"/>
          <w:i w:val="false"/>
          <w:caps w:val="false"/>
          <w:smallCaps w:val="false"/>
          <w:sz w:val="20"/>
        </w:rPr>
        <w:t xml:space="preserve"> Nothing contained in the Indenture or in any of the Securities or the Guarantee shall prevent (i) any consolidation or merger of the Guarantor with or into the Company or another Guarantor, (ii) the merger of a wholly owned Subsidiary of the Company with and into the Guarantor, (iii) the merger of a non-wholly owned Subsidiary into the Guarantor if the Guarantor is the surviving entity, or (iv) any sale or conveyance of the assets of a Guarantor as an entirety or substantially as an entirety or the capital stock of a Guarantor to the Company or another Guarantor.</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shall be automatically released and relieved of any obligations under its Guarantee, (i) in connection with any sale or other disposition (including by way of consolidation or merger) of a majority of the total Voting Stock of the Guarantor, to a Person that is not (either before or after giving effect to such transaction) the Company or a Restricted Subsidiary; provided that such transaction is permitted under the Credit Agreement and after giving effect to such transaction, such Guarantor is no longer liable for any subsidiary guarantee or other obligations in respect of the Existing Senior Notes; (ii) upon the sale or disposition of all or substantially all of the assets of the Guarantor (including by way of merger or consolidation) to a Person that is not (either before or after giving effect to such transaction) the Company or a Restricted Subsidiary; provided such transaction is permitted under the Credit Agreement and after giving effect to such transaction, such Guarantor is no longer liable for any subsidiary guarantee or other obligations in respect of the Existing Senior Notes; (iii) upon the liquidation or dissolution of the Guarantor; (iv) upon legal Defeasance or Covenant Defeasance as permitted under the Indenture or satisfaction and discharge in accordance with the terms of the Indenture; or (v) upon the Guarantor ceasing to guarantee or to be an obligor under the Existing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delivery by the Company to the Trustee of an Officer’s Certificate to the effect that one of the foregoing requirements has been satisfied and the conditions to the release of the Guarantor under this Section 4 have been met, the Trustee shall execute any documents reasonably required in order to evidence the release of the Guarantor from its obligations under its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No Recourse Against Others</w:t>
      </w:r>
      <w:r>
        <w:rPr>
          <w:rFonts w:ascii="Times New Roman;Times;Serif" w:hAnsi="Times New Roman;Times;Serif"/>
          <w:b w:val="false"/>
          <w:i w:val="false"/>
          <w:caps w:val="false"/>
          <w:smallCaps w:val="false"/>
          <w:sz w:val="20"/>
        </w:rPr>
        <w:t>. No director, officer, employee, incorporator, stockholder, member, manager or partner of the Guarantor shall have any liability for any obligations of the Guarantor under the Securities, the Indenture, the Guarantee or for any claim based on, in respect of, or by reason of, such obligations or their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Trustee Not Responsible for Recitals</w:t>
      </w:r>
      <w:r>
        <w:rPr>
          <w:rFonts w:ascii="Times New Roman;Times;Serif" w:hAnsi="Times New Roman;Times;Serif"/>
          <w:b w:val="false"/>
          <w:i w:val="false"/>
          <w:caps w:val="false"/>
          <w:smallCaps w:val="false"/>
          <w:sz w:val="20"/>
        </w:rPr>
        <w:t>. The recitals contained herein shall be taken as the statements of the Guarantor, and the Trustee assumes no responsibility for the correctness of the same. The Trustee makes no representations as to the validity or sufficiency of this Supplemental Indenture or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Headings, Etc</w:t>
      </w:r>
      <w:r>
        <w:rPr>
          <w:rFonts w:ascii="Times New Roman;Times;Serif" w:hAnsi="Times New Roman;Times;Serif"/>
          <w:b w:val="false"/>
          <w:i w:val="false"/>
          <w:caps w:val="false"/>
          <w:smallCaps w:val="false"/>
          <w:sz w:val="20"/>
        </w:rPr>
        <w:t>. The headings of Sections of this Supplemental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Multiple Counterparts</w:t>
      </w:r>
      <w:r>
        <w:rPr>
          <w:rFonts w:ascii="Times New Roman;Times;Serif" w:hAnsi="Times New Roman;Times;Serif"/>
          <w:b w:val="false"/>
          <w:i w:val="false"/>
          <w:caps w:val="false"/>
          <w:smallCaps w:val="false"/>
          <w:sz w:val="20"/>
        </w:rPr>
        <w:t>. The parties may sign multiple counterparts of this Supplemental Indenture. Each signed copy shall be deemed an original, but all of them together represent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SUPPLEMENTAL INDENTURE AND THE SECURITIES SHALL BE GOVERNED BY AND CONSTRUED IN ACCORDANCE WITH THE LAWS OF THE STATE OF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C-4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Supplemental Indenture to be duly executed all as of the date and year first written above.</w:t>
      </w:r>
    </w:p>
    <w:p>
      <w:pPr>
        <w:pStyle w:val="TextBody"/>
        <w:bidi w:val="0"/>
        <w:spacing w:before="0" w:after="0"/>
        <w:ind w:left="0" w:right="0" w:hanging="0"/>
        <w:jc w:val="both"/>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1355"/>
      </w:tblGrid>
      <w:tr>
        <w:trPr/>
        <w:tc>
          <w:tcPr>
            <w:tcW w:w="7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both"/>
              <w:rPr>
                <w:b w:val="false"/>
                <w:sz w:val="20"/>
              </w:rPr>
            </w:pPr>
            <w:r>
              <w:rPr>
                <w:b w:val="false"/>
                <w:sz w:val="20"/>
              </w:rPr>
              <w:t>[GUARANTOR]</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both"/>
              <w:rPr>
                <w:b w:val="false"/>
                <w:sz w:val="20"/>
              </w:rPr>
            </w:pPr>
            <w:r>
              <w:rPr>
                <w:b w:val="false"/>
                <w:sz w:val="20"/>
              </w:rPr>
              <w:t>TRUIST BANK,</w:t>
            </w:r>
          </w:p>
        </w:tc>
      </w:tr>
      <w:tr>
        <w:trPr/>
        <w:tc>
          <w:tcPr>
            <w:tcW w:w="75" w:type="dxa"/>
            <w:tcBorders/>
            <w:vAlign w:val="center"/>
          </w:tcPr>
          <w:p>
            <w:pPr>
              <w:pStyle w:val="TableContents"/>
              <w:bidi w:val="0"/>
              <w:spacing w:before="0" w:after="283"/>
              <w:jc w:val="both"/>
              <w:rPr/>
            </w:pPr>
            <w:r>
              <w:rPr/>
              <w:t> </w:t>
            </w:r>
          </w:p>
        </w:tc>
        <w:tc>
          <w:tcPr>
            <w:tcW w:w="1340" w:type="dxa"/>
            <w:tcBorders/>
            <w:vAlign w:val="center"/>
          </w:tcPr>
          <w:p>
            <w:pPr>
              <w:pStyle w:val="TableContents"/>
              <w:bidi w:val="0"/>
              <w:spacing w:before="0" w:after="283"/>
              <w:jc w:val="both"/>
              <w:rPr>
                <w:b w:val="false"/>
                <w:sz w:val="20"/>
              </w:rPr>
            </w:pPr>
            <w:r>
              <w:rPr>
                <w:b w:val="false"/>
                <w:sz w:val="20"/>
              </w:rPr>
              <w:t>as Trustee</w:t>
            </w:r>
          </w:p>
        </w:tc>
      </w:tr>
    </w:tbl>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320"/>
        <w:gridCol w:w="545"/>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b w:val="false"/>
                <w:sz w:val="20"/>
              </w:rPr>
            </w:pPr>
            <w:r>
              <w:rPr>
                <w:b w:val="false"/>
                <w:sz w:val="20"/>
              </w:rPr>
              <w:t>By:</w:t>
            </w:r>
          </w:p>
        </w:tc>
        <w:tc>
          <w:tcPr>
            <w:tcW w:w="6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b w:val="false"/>
                <w:sz w:val="20"/>
              </w:rPr>
            </w:pPr>
            <w:r>
              <w:rPr>
                <w:b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C-5</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9813301ex5-1.htm"/>
      <w:bookmarkStart w:id="32" w:name="ksea029813301ex51"/>
      <w:bookmarkEnd w:id="31"/>
      <w:bookmarkEnd w:id="32"/>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2625"/>
        <w:gridCol w:w="60"/>
        <w:gridCol w:w="60"/>
        <w:gridCol w:w="60"/>
        <w:gridCol w:w="2300"/>
      </w:tblGrid>
      <w:tr>
        <w:trPr/>
        <w:tc>
          <w:tcPr>
            <w:tcW w:w="2625" w:type="dxa"/>
            <w:tcBorders/>
            <w:vAlign w:val="center"/>
          </w:tcPr>
          <w:p>
            <w:pPr>
              <w:pStyle w:val="TableContents"/>
              <w:bidi w:val="0"/>
              <w:spacing w:before="0" w:after="283"/>
              <w:jc w:val="left"/>
              <w:rPr/>
            </w:pPr>
            <w:r>
              <w:rPr/>
              <w:drawing>
                <wp:inline distT="0" distB="0" distL="0" distR="0">
                  <wp:extent cx="16573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4572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Akerman LLP</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Brickell City Centre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Southeast Seventh Street</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 33131</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305 374 5600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305 374 5095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Taft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Hollywood, Florida 33021</w:t>
      </w:r>
    </w:p>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305"/>
        <w:gridCol w:w="7670"/>
      </w:tblGrid>
      <w:tr>
        <w:trPr/>
        <w:tc>
          <w:tcPr>
            <w:tcW w:w="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7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HEICO Corporation – Public Offering of $550,000,000 4.950% Senior Notes due 2031 and</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b/>
              </w:rPr>
            </w:pPr>
            <w:r>
              <w:rPr>
                <w:b/>
              </w:rPr>
              <w:t>$650,000,000 5.400% Senior Notes due 2036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HEICO Corporation, a Florida corporation (the “Company”), in connection with (i) the registration statement on Form S-3ASR (the “Registration Statement”) filed by the Company with the Securities and Exchange Commission (the “Commission”) on July 13, 2026 under the Securities Act of 1933, as amended (the “Securities Act”) relating to the offering from time to time, pursuant to Rule 415 under the Securities Act,  (I) by the Company of (a) Common Stock, par value $0.01 per share (the “Common Stock”); (b) Class A Common Stock, par value $0.01 per share (the “Class A Common Stock”); (c) Preferred Stock, par value $0.01 per share (the “Preferred Stock”); (d) debt securities of the Company (the “Debt Securities”), which may be senior or subordinated and issued pursuant to an indenture and any supplemental indenture among the Company and the trustee to be named therein; (e) depositary shares of the Company (the “Depositary Shares”) each representing a fractional interest in a share of a particular class or series of Preferred Stock and evidenced by a depositary receipt (the “Depositary Receipts”), which may be issued pursuant to a deposit agreement among the Company, a depositary to be named therein and the holders from time to time of the Depositary Receipts issued thereunder; (f) warrants to purchase Debt Securities or equity securities, including Common Stock, Class A Common Stock or Preferred Stock (the “Warrants”), which may be issued pursuant to a warrant agreement between the Company and a warrant agent to be named therein; and (g) units comprised of one or more Debt Securities, Common Stock, Preferred Stock and Warrants in any combination (the “Units”) to be issued under one or more unit agreements to be entered into among the Company, a bank or trust company, as unit agent, and the holders from time to time of the Units, and (II) by the selling shareholders to be named in a prospectus supplement, post-effective amendment, or in filings the Company makes with the Commission under the Securities Exchange Act of 1934, as amended, that are incorporated by reference into the Registration Statement of shares of Common Stock and shares of Class A Common Stock; and (ii) the offering and sale of $550,000,000 4.950% Senior Notes due 2031 (the “4.950% Notes”) and $650,000,000 5.400% Senior Notes due 2036 (the “5.400% Notes” and collectively with the 4.950% Notes, the “Notes”) by the Company. The Notes are being offered and sold as described in the prospectus dated July 13, 2026, contained in the Registration Statement (the “Base Prospectus”), as supplemented by the preliminary prospectus supplement dated July 13, 2026 (the “Preliminary Prospectus Supplement”) and the final prospectus supplement dated July 13, 2026 (the “Final Prospectus Supplement”). The Notes will be issued under the indenture, dated as of July 16, 2026, among the Company and Truist Bank, a North Carolina banking corporation, as trustee (the “Trustee”), in substantially the same form as the form of indenture filed with the Registration Statement (the “Base Indenture”), and the First Supplemental Indenture, dated as of July 16, 2026, among the Company and the Trustee (the “Supplemental Indenture” and collectively, with the Base Indenture,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This opinion letter is limited to the matters expressly stated herein and no opinions are to be inferred or may be implied beyond the opinions expressly so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organizational documents of the Company, and such corporate records, documents, instruments, certificates of public officials as to the Company and such questions of law as we have deemed necessary for the purpose of rendering the opinions set forth herein. We have also examined the Registration Statement, Base Prospectus, Preliminary Prospectus Supplement, Final Prospectus Supplement, the Underwriting Agreement, dated July 13, 2026, among the Company and BofA Securities, Inc., PNC Capital Markets LLC, Truist Securities, Inc., and Wells Fargo Securities, LLC as representatives of the several underwriters (the “Underwriting Agreement”), the Indenture and the Notes. Collectively, the Underwriting Agreement, Indenture and Notes are referred to as the “Opinion Documents.” With your permission, we have made and relied upon the following assumptions, without any investigation or inquiry by us, and our opinions expressed below are subject to, and limited and qualified by the effect of, such assumptions: (a) the authenticity of original documents and the genuineness of all signatures; (b) the conformity to the originals of all documents submitted to us as copies; (c) the legal capacity of all natural persons to take all actions required of such person in connection with the Registration Statement; and (d) the truth, accuracy, authenticity and completeness of the information, representations and warranties contained in the records, documents, instruments and certificates (including without limitation any certificate or other document issued by a public authority and all official public records) we have reviewed. As to any facts material to the opinions expressed herein that we did not independently establish or verify, we have relied upon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opinion letter, the term “applicable laws” means Florida laws, rules and regulations that a Florida counsel exercising customary professional diligence would reasonably be expected to recognize as being applicable to the Company; provided, however, that applicable laws does not include any law, rule or regulation that is applicable to the Company solely because such law, rule or regulation is part of a regulatory regime applicable to the Company or any of its affiliates due to the specific assets or business of such party or affiliate. With respect to the opinions set forth in paragraphs 5 and 6 below, we are opining as to the internal laws of the State of New York. We neither express nor imply any opinions with respect to any other laws or the laws of any other jurisdiction or the United States of America. For purposes of this opinion letter, we assume that the Notes will be issued in accordance with all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further assumptions and qualifications set forth below, it is our opinion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a Florida corporation that is validly existing and in good standing under Florida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has the corporate power to execute and deliver the Opinion Documents to which it is a party and to perform its respective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authorized the execution, delivery and performance of the Opinion Documents to which it is a party by all necessary corporate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Base Indenture has been executed and delivered by the Company and the Supplemental Indenture has been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Base Indenture is a legal, valid and binding obligation of the Company and the Supplemental Indenture is a legal, valid and binding obligation of the Company, enforceable against the Company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Notes have been duly authorized, and when the Notes have been duly executed and delivered by the Company and authenticated by the Trustee in accordance with the terms of the Indenture and delivered and paid for as provided in the Underwriting Agreement, the Notes will be the legal, valid and binding obligations of the Company, enforceable against the Company in accordance with their terms and entitled to the benefit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(a) the effects of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offering and sale of the Notes and may not be relied upon for any other purpose without our prior written consent in each instance. No portion of this letter may be quoted, circulated or referred to in any other document for any other purpose without our prior written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Commission in connection with the Registration Statement referred to above. We also hereby consent to the reference to our firm under the heading “Legal Matters” in the Base Prospectus, Preliminary Prospectus Supplement and Final Prospectus Supplement. In giving this consent, we do not admit that we are within the category of persons whose consent is required under Section 7 of the Securities Act or the rules and regulations of the Commission issued thereunder.</w:t>
      </w:r>
    </w:p>
    <w:p>
      <w:pPr>
        <w:pStyle w:val="TextBody"/>
        <w:bidi w:val="0"/>
        <w:spacing w:before="0" w:after="0"/>
        <w:ind w:left="0" w:right="0" w:firstLine="72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75"/>
        <w:gridCol w:w="1475"/>
      </w:tblGrid>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Akerman LLP</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b/>
                <w:sz w:val="20"/>
              </w:rPr>
            </w:pPr>
            <w:r>
              <w:rPr>
                <w:b/>
                <w:sz w:val="20"/>
              </w:rPr>
              <w:t>AKERMAN LLP</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29813301ex99-1.htm"/>
      <w:bookmarkStart w:id="34" w:name="ksea029813301ex991"/>
      <w:bookmarkEnd w:id="33"/>
      <w:bookmarkEnd w:id="3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 Closes $1.2 Billion Senior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MIAMI, FL and HOLLYWOOD, FL / ACCESS Newswire / July 16, 2026 /</w:t>
      </w:r>
      <w:r>
        <w:rPr>
          <w:rFonts w:ascii="Times New Roman;Times;Serif" w:hAnsi="Times New Roman;Times;Serif"/>
          <w:b w:val="false"/>
          <w:i w:val="false"/>
          <w:caps w:val="false"/>
          <w:smallCaps w:val="false"/>
          <w:sz w:val="20"/>
        </w:rPr>
        <w:t xml:space="preserve"> HEICO Corporation (NYSE:HEI.A, HEI) today announced that it closed an offering of $550 million in aggregate principal amount of 4.950% Senior Notes due 2031 (the "2031 Notes") and $650 million in aggregate principal amount of 5.400% Senior Notes due 2036 (the "2036 Notes", and together with the 2031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will use the net proceeds from the sale of the Notes to pay down outstanding borrowings under its $2.2 billion revolving credit agreement, leaving the Company with substantial ability and flexibility to fund future potential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A. Mendelson and Victor H. Mendelson, HEICO's Co-Chairmen and Co-Chief Executive Officers, stated, "HEICO's strong operating performance and solid balance sheet earned investment grade ratings on our existing notes issued in 2023 and the Notes issued today. Building on our inaugural issuance in 2023, this second offering gives us an efficient way to fund ongoing acquisition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Carlos L. Macau Jr., HEICO's Chief Financial Officer and Executive Vice President, added, "This offering expands HEICO's capital sources and gives HEICO greater flexibility to pursue continued growth. Further, our well-staggered borrowing maturity schedule provides excellent planning and financial safety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BofA Securities, PNC Capital Markets LLC, Wells Fargo Securities, Credit Agricole CIB and TD Securities served as joint book-running managers for the offering, with Co-Managers including Huntington Securities, J.P. Morgan, M&amp;T Securities and RBC Capital Markets. Akerman LLP served as legal counsel to HEICO. King &amp; Spalding LLP served as legal counsel to the joint book-running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is engaged primarily in the design, production, servicing and distribution of products and services to certain niche segments of the aviation, defense, space, medical, telecommunications and electronics industries through its Hollywood, Florida-based Flight Support Group and its Miami, Florida-based Electronic Technologies Group. HEICO's customers include a majority of the world's airlines and overhaul shops, as well as numerous defense and space contractors and military agencies worldwide, in addition to medical, telecommunications and electronics equipment manufacturers. For more information about HEICO, please visit our website at https://www.heico.com.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sell or the solicitation of an offer to sell or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constitute forward-looking statements, which are subject to risks, uncertainties and contingencies. HEICO's actual results may differ materially from those expressed in or implied by those forward-looking statements. Factors that could cause such differences include, among others: the severity, magnitude and duration of public health threats; our liquidity and the amount and timing of cash generation; lower commercial air travel, airline fleet changes or airline purchasing decisions, which could cause lower demand for our goods and services; product specification costs and requirements, which could cause an increase in our costs to complete contracts; governmental and regulatory demands, export policies and restrictions, reductions in defense, space or homeland security spending by U.S. and/or foreign customers or competition from existing and new competitors, which could reduce our sales; our ability to introduce new products and services at profitable pricing levels, which could reduce our sales or sales growth; product development or manufacturing difficulties, which could increase our product development and manufacturing costs and delay sales; cybersecurity events or other disruptions of our information technology systems could adversely affect our business; and 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 Parties receiving this material are encouraged to review all of HEICO's filings with the Securities and Exchange Commission including, but not limited to filings on Form 10-K, Form 10-Q and Form 8-K. We undertake no obligation to publicly update or revise any forward-looking statement, whether as a result of new information, future events or otherwise, except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 H. Mendelson (305) 374-1745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Carlos L. Macau, Jr. (954) 744-7570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xml:space="preserve"> HEICO Corporation</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79116</Words>
  <Characters>406927</Characters>
  <CharactersWithSpaces>486064</CharactersWithSpaces>
  <Paragraphs>4396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