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15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17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5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43"/>
          <w:szCs w:val="43"/>
          <w:b w:val="1"/>
          <w:bCs w:val="1"/>
          <w:color w:val="auto"/>
        </w:rPr>
        <w:t>HEICO CORPORATION</w:t>
      </w:r>
    </w:p>
    <w:p>
      <w:pPr>
        <w:spacing w:after="0" w:line="8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1080" w:type="dxa"/>
        <w:tblCellMar>
          <w:top w:w="0" w:type="dxa"/>
          <w:left w:w="0" w:type="dxa"/>
          <w:bottom w:w="0" w:type="dxa"/>
          <w:right w:w="0" w:type="dxa"/>
        </w:tblCellMar>
      </w:tblPr>
      <w:tr>
        <w:trPr>
          <w:trHeight w:val="286"/>
        </w:trPr>
        <w:tc>
          <w:tcPr>
            <w:tcW w:w="2660" w:type="dxa"/>
            <w:vAlign w:val="bottom"/>
          </w:tcPr>
          <w:p>
            <w:pPr>
              <w:jc w:val="center"/>
              <w:ind w:right="870"/>
              <w:spacing w:after="0"/>
              <w:rPr>
                <w:sz w:val="20"/>
                <w:szCs w:val="20"/>
                <w:color w:val="auto"/>
              </w:rPr>
            </w:pPr>
            <w:r>
              <w:rPr>
                <w:rFonts w:ascii="Times New Roman" w:cs="Times New Roman" w:eastAsia="Times New Roman" w:hAnsi="Times New Roman"/>
                <w:sz w:val="22"/>
                <w:szCs w:val="22"/>
                <w:b w:val="1"/>
                <w:bCs w:val="1"/>
                <w:color w:val="auto"/>
              </w:rPr>
              <w:t>Florida</w:t>
            </w:r>
          </w:p>
        </w:tc>
        <w:tc>
          <w:tcPr>
            <w:tcW w:w="3860" w:type="dxa"/>
            <w:vAlign w:val="bottom"/>
          </w:tcPr>
          <w:p>
            <w:pPr>
              <w:jc w:val="right"/>
              <w:ind w:right="1426"/>
              <w:spacing w:after="0"/>
              <w:rPr>
                <w:sz w:val="20"/>
                <w:szCs w:val="20"/>
                <w:color w:val="auto"/>
              </w:rPr>
            </w:pPr>
            <w:r>
              <w:rPr>
                <w:rFonts w:ascii="Times New Roman" w:cs="Times New Roman" w:eastAsia="Times New Roman" w:hAnsi="Times New Roman"/>
                <w:sz w:val="22"/>
                <w:szCs w:val="22"/>
                <w:b w:val="1"/>
                <w:bCs w:val="1"/>
                <w:color w:val="auto"/>
              </w:rPr>
              <w:t>001-04604</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65-0341002</w:t>
            </w:r>
          </w:p>
        </w:tc>
      </w:tr>
      <w:tr>
        <w:trPr>
          <w:trHeight w:val="163"/>
        </w:trPr>
        <w:tc>
          <w:tcPr>
            <w:tcW w:w="2660" w:type="dxa"/>
            <w:vAlign w:val="bottom"/>
          </w:tcPr>
          <w:p>
            <w:pPr>
              <w:jc w:val="center"/>
              <w:ind w:right="870"/>
              <w:spacing w:after="0" w:line="164" w:lineRule="exact"/>
              <w:rPr>
                <w:sz w:val="20"/>
                <w:szCs w:val="20"/>
                <w:color w:val="auto"/>
              </w:rPr>
            </w:pPr>
            <w:r>
              <w:rPr>
                <w:rFonts w:ascii="Times New Roman" w:cs="Times New Roman" w:eastAsia="Times New Roman" w:hAnsi="Times New Roman"/>
                <w:sz w:val="16"/>
                <w:szCs w:val="16"/>
                <w:color w:val="auto"/>
              </w:rPr>
              <w:t>(State or other jurisdiction</w:t>
            </w:r>
          </w:p>
        </w:tc>
        <w:tc>
          <w:tcPr>
            <w:tcW w:w="3860" w:type="dxa"/>
            <w:vAlign w:val="bottom"/>
          </w:tcPr>
          <w:p>
            <w:pPr>
              <w:jc w:val="center"/>
              <w:ind w:right="26"/>
              <w:spacing w:after="0" w:line="164" w:lineRule="exact"/>
              <w:rPr>
                <w:sz w:val="20"/>
                <w:szCs w:val="20"/>
                <w:color w:val="auto"/>
              </w:rPr>
            </w:pPr>
            <w:r>
              <w:rPr>
                <w:rFonts w:ascii="Times New Roman" w:cs="Times New Roman" w:eastAsia="Times New Roman" w:hAnsi="Times New Roman"/>
                <w:sz w:val="16"/>
                <w:szCs w:val="16"/>
                <w:color w:val="auto"/>
              </w:rPr>
              <w:t>(Commission File Number)</w:t>
            </w:r>
          </w:p>
        </w:tc>
        <w:tc>
          <w:tcPr>
            <w:tcW w:w="2300" w:type="dxa"/>
            <w:vAlign w:val="bottom"/>
          </w:tcPr>
          <w:p>
            <w:pPr>
              <w:jc w:val="center"/>
              <w:ind w:left="1008"/>
              <w:spacing w:after="0" w:line="164" w:lineRule="exact"/>
              <w:rPr>
                <w:sz w:val="20"/>
                <w:szCs w:val="20"/>
                <w:color w:val="auto"/>
              </w:rPr>
            </w:pPr>
            <w:r>
              <w:rPr>
                <w:rFonts w:ascii="Times New Roman" w:cs="Times New Roman" w:eastAsia="Times New Roman" w:hAnsi="Times New Roman"/>
                <w:sz w:val="16"/>
                <w:szCs w:val="16"/>
                <w:color w:val="auto"/>
              </w:rPr>
              <w:t>(I.R.S. Employer</w:t>
            </w:r>
          </w:p>
        </w:tc>
      </w:tr>
      <w:tr>
        <w:trPr>
          <w:trHeight w:val="189"/>
        </w:trPr>
        <w:tc>
          <w:tcPr>
            <w:tcW w:w="2660" w:type="dxa"/>
            <w:vAlign w:val="bottom"/>
          </w:tcPr>
          <w:p>
            <w:pPr>
              <w:jc w:val="center"/>
              <w:ind w:right="870"/>
              <w:spacing w:after="0"/>
              <w:rPr>
                <w:sz w:val="20"/>
                <w:szCs w:val="20"/>
                <w:color w:val="auto"/>
              </w:rPr>
            </w:pPr>
            <w:r>
              <w:rPr>
                <w:rFonts w:ascii="Times New Roman" w:cs="Times New Roman" w:eastAsia="Times New Roman" w:hAnsi="Times New Roman"/>
                <w:sz w:val="16"/>
                <w:szCs w:val="16"/>
                <w:color w:val="auto"/>
              </w:rPr>
              <w:t>of incorporation or</w:t>
            </w:r>
          </w:p>
        </w:tc>
        <w:tc>
          <w:tcPr>
            <w:tcW w:w="3860" w:type="dxa"/>
            <w:vAlign w:val="bottom"/>
          </w:tcPr>
          <w:p>
            <w:pPr>
              <w:spacing w:after="0"/>
              <w:rPr>
                <w:sz w:val="16"/>
                <w:szCs w:val="16"/>
                <w:color w:val="auto"/>
              </w:rPr>
            </w:pPr>
          </w:p>
        </w:tc>
        <w:tc>
          <w:tcPr>
            <w:tcW w:w="2300" w:type="dxa"/>
            <w:vAlign w:val="bottom"/>
          </w:tcPr>
          <w:p>
            <w:pPr>
              <w:jc w:val="center"/>
              <w:ind w:left="1008"/>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10"/>
        </w:trPr>
        <w:tc>
          <w:tcPr>
            <w:tcW w:w="2660" w:type="dxa"/>
            <w:vAlign w:val="bottom"/>
          </w:tcPr>
          <w:p>
            <w:pPr>
              <w:jc w:val="center"/>
              <w:ind w:right="830"/>
              <w:spacing w:after="0"/>
              <w:rPr>
                <w:sz w:val="20"/>
                <w:szCs w:val="20"/>
                <w:color w:val="auto"/>
              </w:rPr>
            </w:pPr>
            <w:r>
              <w:rPr>
                <w:rFonts w:ascii="Times New Roman" w:cs="Times New Roman" w:eastAsia="Times New Roman" w:hAnsi="Times New Roman"/>
                <w:sz w:val="16"/>
                <w:szCs w:val="16"/>
                <w:color w:val="auto"/>
              </w:rPr>
              <w:t>organization)</w:t>
            </w:r>
          </w:p>
        </w:tc>
        <w:tc>
          <w:tcPr>
            <w:tcW w:w="38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639"/>
        </w:trPr>
        <w:tc>
          <w:tcPr>
            <w:tcW w:w="6520" w:type="dxa"/>
            <w:vAlign w:val="bottom"/>
            <w:gridSpan w:val="2"/>
          </w:tcPr>
          <w:p>
            <w:pPr>
              <w:jc w:val="center"/>
              <w:ind w:right="1226"/>
              <w:spacing w:after="0"/>
              <w:rPr>
                <w:sz w:val="20"/>
                <w:szCs w:val="20"/>
                <w:color w:val="auto"/>
              </w:rPr>
            </w:pPr>
            <w:r>
              <w:rPr>
                <w:rFonts w:ascii="Times New Roman" w:cs="Times New Roman" w:eastAsia="Times New Roman" w:hAnsi="Times New Roman"/>
                <w:sz w:val="22"/>
                <w:szCs w:val="22"/>
                <w:b w:val="1"/>
                <w:bCs w:val="1"/>
                <w:color w:val="auto"/>
                <w:w w:val="97"/>
              </w:rPr>
              <w:t>3000 Taft Street, Hollywood, Florida</w:t>
            </w:r>
          </w:p>
        </w:tc>
        <w:tc>
          <w:tcPr>
            <w:tcW w:w="2300" w:type="dxa"/>
            <w:vAlign w:val="bottom"/>
          </w:tcPr>
          <w:p>
            <w:pPr>
              <w:jc w:val="right"/>
              <w:ind w:right="228"/>
              <w:spacing w:after="0"/>
              <w:rPr>
                <w:sz w:val="20"/>
                <w:szCs w:val="20"/>
                <w:color w:val="auto"/>
              </w:rPr>
            </w:pPr>
            <w:r>
              <w:rPr>
                <w:rFonts w:ascii="Times New Roman" w:cs="Times New Roman" w:eastAsia="Times New Roman" w:hAnsi="Times New Roman"/>
                <w:sz w:val="22"/>
                <w:szCs w:val="22"/>
                <w:b w:val="1"/>
                <w:bCs w:val="1"/>
                <w:color w:val="auto"/>
              </w:rPr>
              <w:t>33021</w:t>
            </w:r>
          </w:p>
        </w:tc>
      </w:tr>
      <w:tr>
        <w:trPr>
          <w:trHeight w:val="225"/>
        </w:trPr>
        <w:tc>
          <w:tcPr>
            <w:tcW w:w="6520" w:type="dxa"/>
            <w:vAlign w:val="bottom"/>
            <w:gridSpan w:val="2"/>
          </w:tcPr>
          <w:p>
            <w:pPr>
              <w:jc w:val="center"/>
              <w:ind w:right="1206"/>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300" w:type="dxa"/>
            <w:vAlign w:val="bottom"/>
          </w:tcPr>
          <w:p>
            <w:pPr>
              <w:jc w:val="center"/>
              <w:ind w:left="1008"/>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6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Carlos L. Macau, Jr., Executive Vice President, Chief Financial Officer and Treasurer</w:t>
      </w:r>
    </w:p>
    <w:p>
      <w:pPr>
        <w:jc w:val="center"/>
        <w:ind w:right="-539"/>
        <w:spacing w:after="0"/>
        <w:rPr>
          <w:sz w:val="20"/>
          <w:szCs w:val="20"/>
          <w:color w:val="auto"/>
        </w:rPr>
      </w:pPr>
      <w:r>
        <w:rPr>
          <w:rFonts w:ascii="Times New Roman" w:cs="Times New Roman" w:eastAsia="Times New Roman" w:hAnsi="Times New Roman"/>
          <w:sz w:val="20"/>
          <w:szCs w:val="20"/>
          <w:b w:val="1"/>
          <w:bCs w:val="1"/>
          <w:color w:val="auto"/>
        </w:rPr>
        <w:t>(954) 987-4000</w:t>
      </w:r>
    </w:p>
    <w:p>
      <w:pPr>
        <w:spacing w:after="0" w:line="18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6"/>
          <w:szCs w:val="16"/>
          <w:color w:val="auto"/>
        </w:rPr>
        <w:t>(Name and telephone number, including area code, of the person to contact in connection with this report.)</w:t>
      </w:r>
    </w:p>
    <w:p>
      <w:pPr>
        <w:spacing w:after="0" w:line="200" w:lineRule="exact"/>
        <w:rPr>
          <w:sz w:val="24"/>
          <w:szCs w:val="24"/>
          <w:color w:val="auto"/>
        </w:rPr>
      </w:pPr>
    </w:p>
    <w:p>
      <w:pPr>
        <w:spacing w:after="0" w:line="201" w:lineRule="exact"/>
        <w:rPr>
          <w:sz w:val="24"/>
          <w:szCs w:val="24"/>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submitted, and provide the period to which the information in this Form applies:</w:t>
      </w:r>
    </w:p>
    <w:p>
      <w:pPr>
        <w:spacing w:after="0" w:line="227" w:lineRule="exact"/>
        <w:rPr>
          <w:sz w:val="24"/>
          <w:szCs w:val="24"/>
          <w:color w:val="auto"/>
        </w:rPr>
      </w:pPr>
    </w:p>
    <w:p>
      <w:pPr>
        <w:ind w:left="20" w:firstLine="6"/>
        <w:spacing w:after="0" w:line="279" w:lineRule="exact"/>
        <w:tabs>
          <w:tab w:leader="none" w:pos="371"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Rule 13p-1 under the Securities Exchange Act (17 CFR 240.13p-1) for the reporting period from January 1 to December 31, 2025.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Rule 13q-1 under the Securities Exchange Act (17 CFR 240.13q-1) for the fiscal year ended ______.</w:t>
      </w:r>
    </w:p>
    <w:p>
      <w:pPr>
        <w:sectPr>
          <w:pgSz w:w="11900" w:h="16838" w:orient="portrait"/>
          <w:cols w:equalWidth="0" w:num="1">
            <w:col w:w="10720"/>
          </w:cols>
          <w:pgMar w:left="320" w:top="1440"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64" w:lineRule="exact"/>
        <w:rPr>
          <w:sz w:val="20"/>
          <w:szCs w:val="20"/>
          <w:color w:val="auto"/>
        </w:rPr>
      </w:pPr>
    </w:p>
    <w:p>
      <w:pPr>
        <w:ind w:firstLine="204"/>
        <w:spacing w:after="0" w:line="250" w:lineRule="auto"/>
        <w:rPr>
          <w:sz w:val="20"/>
          <w:szCs w:val="20"/>
          <w:color w:val="auto"/>
        </w:rPr>
      </w:pPr>
      <w:r>
        <w:rPr>
          <w:rFonts w:ascii="Times New Roman" w:cs="Times New Roman" w:eastAsia="Times New Roman" w:hAnsi="Times New Roman"/>
          <w:sz w:val="22"/>
          <w:szCs w:val="22"/>
          <w:color w:val="auto"/>
        </w:rPr>
        <w:t>As provided for in Rule 13p-1 under the Securities Exchange Act of 1934, as amended, and Form SD, HEICO Corporation ("HEICO") has prepared a Conflict Minerals Report, which is filed as Exhibit 1.01 to this report on Form SD and available through the Investors section of HEICO's website at www.heico.com. The information contained on HEICO's website is not incorporated by reference in this Form SD or the Conflict Minerals Report and should not be considered part of this Form SD or the Conflict Minerals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Conflict Minerals Report described in Item 1.01 is filed as Exhibit 1.01 to this Form SD.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349"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Exhibit No.</w:t>
            </w:r>
          </w:p>
        </w:tc>
        <w:tc>
          <w:tcPr>
            <w:tcW w:w="560" w:type="dxa"/>
            <w:vAlign w:val="bottom"/>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Description</w:t>
            </w:r>
          </w:p>
        </w:tc>
        <w:tc>
          <w:tcPr>
            <w:tcW w:w="5320" w:type="dxa"/>
            <w:vAlign w:val="bottom"/>
          </w:tcPr>
          <w:p>
            <w:pPr>
              <w:spacing w:after="0"/>
              <w:rPr>
                <w:sz w:val="21"/>
                <w:szCs w:val="2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560" w:type="dxa"/>
            <w:vAlign w:val="bottom"/>
          </w:tcPr>
          <w:p>
            <w:pPr>
              <w:spacing w:after="0"/>
              <w:rPr>
                <w:sz w:val="24"/>
                <w:szCs w:val="24"/>
                <w:color w:val="auto"/>
              </w:rPr>
            </w:pPr>
          </w:p>
        </w:tc>
        <w:tc>
          <w:tcPr>
            <w:tcW w:w="6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Conflict Minerals Report for the calendar year ended December 31, 2025</w:t>
            </w:r>
          </w:p>
        </w:tc>
      </w:tr>
    </w:tbl>
    <w:p>
      <w:pPr>
        <w:sectPr>
          <w:pgSz w:w="11900" w:h="16838" w:orient="portrait"/>
          <w:cols w:equalWidth="0" w:num="1">
            <w:col w:w="11100"/>
          </w:cols>
          <w:pgMar w:left="320" w:top="1404"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HEICO CORPORATION</w:t>
      </w:r>
    </w:p>
    <w:p>
      <w:pPr>
        <w:spacing w:after="0" w:line="179" w:lineRule="exact"/>
        <w:rPr>
          <w:sz w:val="20"/>
          <w:szCs w:val="20"/>
          <w:color w:val="auto"/>
        </w:rPr>
      </w:pPr>
    </w:p>
    <w:p>
      <w:pPr>
        <w:ind w:left="60"/>
        <w:spacing w:after="0"/>
        <w:tabs>
          <w:tab w:leader="none" w:pos="760" w:val="left"/>
          <w:tab w:leader="none" w:pos="8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CARLOS L. MACAU, JR.</w:t>
      </w:r>
      <w:r>
        <w:rPr>
          <w:sz w:val="20"/>
          <w:szCs w:val="20"/>
          <w:color w:val="auto"/>
        </w:rPr>
        <w:tab/>
      </w:r>
      <w:r>
        <w:rPr>
          <w:rFonts w:ascii="Times New Roman" w:cs="Times New Roman" w:eastAsia="Times New Roman" w:hAnsi="Times New Roman"/>
          <w:sz w:val="21"/>
          <w:szCs w:val="21"/>
          <w:color w:val="auto"/>
        </w:rPr>
        <w:t>Date: May 29, 2026</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Carlos L. Macau,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-160020</wp:posOffset>
            </wp:positionV>
            <wp:extent cx="2717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ind w:left="780"/>
        <w:spacing w:after="0" w:line="231" w:lineRule="auto"/>
        <w:rPr>
          <w:sz w:val="20"/>
          <w:szCs w:val="20"/>
          <w:color w:val="auto"/>
        </w:rPr>
      </w:pPr>
      <w:r>
        <w:rPr>
          <w:rFonts w:ascii="Times New Roman" w:cs="Times New Roman" w:eastAsia="Times New Roman" w:hAnsi="Times New Roman"/>
          <w:sz w:val="22"/>
          <w:szCs w:val="22"/>
          <w:color w:val="auto"/>
        </w:rPr>
        <w:t>Executive Vice President -</w:t>
      </w:r>
    </w:p>
    <w:p>
      <w:pPr>
        <w:ind w:left="780"/>
        <w:spacing w:after="0" w:line="217" w:lineRule="auto"/>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(Principal Financial Officer)</w:t>
      </w:r>
    </w:p>
    <w:p>
      <w:pPr>
        <w:sectPr>
          <w:pgSz w:w="11900" w:h="16838" w:orient="portrait"/>
          <w:cols w:equalWidth="0" w:num="1">
            <w:col w:w="11220"/>
          </w:cols>
          <w:pgMar w:left="320" w:top="1418"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23" w:lineRule="exact"/>
        <w:rPr>
          <w:sz w:val="20"/>
          <w:szCs w:val="20"/>
          <w:color w:val="auto"/>
        </w:rPr>
      </w:pPr>
    </w:p>
    <w:p>
      <w:pPr>
        <w:ind w:right="60" w:firstLine="180"/>
        <w:spacing w:after="0" w:line="263" w:lineRule="auto"/>
        <w:rPr>
          <w:sz w:val="20"/>
          <w:szCs w:val="20"/>
          <w:color w:val="auto"/>
        </w:rPr>
      </w:pPr>
      <w:r>
        <w:rPr>
          <w:rFonts w:ascii="Times New Roman" w:cs="Times New Roman" w:eastAsia="Times New Roman" w:hAnsi="Times New Roman"/>
          <w:sz w:val="22"/>
          <w:szCs w:val="22"/>
          <w:color w:val="auto"/>
        </w:rPr>
        <w:t>HEICO Corporation ("HEICO," the "Company," "we," "us" and "our") has included this Conflict Minerals Report as an exhibit to its Form SD for 2025 as provided for in Rule 13p-1 under the Securities Exchange Act of 1934, as amended, and Form SD (collectively, the "Conflict Minerals Rule"). The filing date of this Conflict Minerals Report is May 29, 2026.</w:t>
      </w:r>
    </w:p>
    <w:p>
      <w:pPr>
        <w:spacing w:after="0" w:line="194" w:lineRule="exact"/>
        <w:rPr>
          <w:sz w:val="20"/>
          <w:szCs w:val="20"/>
          <w:color w:val="auto"/>
        </w:rPr>
      </w:pPr>
    </w:p>
    <w:p>
      <w:pPr>
        <w:jc w:val="both"/>
        <w:ind w:right="540" w:firstLine="648"/>
        <w:spacing w:after="0" w:line="295" w:lineRule="auto"/>
        <w:rPr>
          <w:sz w:val="20"/>
          <w:szCs w:val="20"/>
          <w:color w:val="auto"/>
        </w:rPr>
      </w:pPr>
      <w:r>
        <w:rPr>
          <w:rFonts w:ascii="Times New Roman" w:cs="Times New Roman" w:eastAsia="Times New Roman" w:hAnsi="Times New Roman"/>
          <w:sz w:val="21"/>
          <w:szCs w:val="21"/>
          <w:color w:val="auto"/>
        </w:rPr>
        <w:t>As used herein and consistent with the Conflict Minerals Rule, "Conflict Minerals" or "3TG" are columbite-tantalite (coltan), cassiterite, gold, wolframite and the derivatives tantalum, tin and tungsten, without regard to the location of origin.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6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Certain statements in this Conflict Minerals Report constitute “forward-looking statements” within the meaning of the Private Securities Litigation Reform Act of 1995. All statements contained herein that are not clearly historical in nature may be forward-looking and are generally intended to identify forward-looking statements. You can identify some of the forward-looking statements by the use of forward-looking words, such as “intend" and the like, or the use of future tense. Statements concerning current conditions may also be forward-looking if they imply a continuation of current conditions. Examples of forward-looking statements include, but are not limited to, statements concerning the additional steps that the Company intends to take to mitigate the risk that the necessary 3TG in its products benefit armed groups.</w:t>
      </w:r>
    </w:p>
    <w:p>
      <w:pPr>
        <w:spacing w:after="0" w:line="207"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Any forward-looking statement contained herein is subject to risks, uncertainties and contingencies that could cause actual actions or performance to differ materially from those expressed in the forward-looking statement. The Company has based these forward-looking statements on its current expectations about future events. All forward-looking statements involve risks, uncertainties and contingencies, many of which are beyond the Company's control, which may cause actual performance or achievements to differ materially from anticipated performance or achievements. These risks, uncertainties and contingencies include, but are not limited to, (1) the continued implementation of satisfactory traceability and other compliance measures by the Company's direct and indirect suppliers on a timely basis or at all, (2) whether smelters and refiners (“SORs”) and other market participants responsibly source 3TG and (3) political and regulatory developments, whether in the Democratic Republic of the Congo ("DRC") region, the United States of America or elsewhere. You are cautioned not to place undue reliance on these forward-looking statements, which speak only as of the date of filing of this document. The Company undertakes no obligation to publicly update or revise any forward-looking statement, whether as a result of new information, future events or otherwise,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Part I. Business Overview; Applicability of Conflict Minerals Rule</w:t>
      </w:r>
    </w:p>
    <w:p>
      <w:pPr>
        <w:spacing w:after="0" w:line="25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HEICO believes it is the world’s largest manufacturer of Federal Aviation Administration-approved jet engine and aircraft component replacement parts, other than the original equipment manufacturers and their subcontractors. HEICO also believes it is a leading manufacturer of various types of electronic equipment for the aviation, defense, space, medical, telecommunications and electronics industries. For further information concerning HEICO's products, see the Company's Annual Report on Form 10-K for the fiscal year ended October 31, 2025. The information contained in the Company's Form 10-K is not incorporated by reference into this Conflict Minerals Report or the Form SD to which it is an exhibit and should not be considered part of this Conflict Minerals Report or the Form SD.</w:t>
      </w:r>
    </w:p>
    <w:p>
      <w:pPr>
        <w:spacing w:after="0" w:line="221"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1"/>
          <w:szCs w:val="21"/>
          <w:color w:val="auto"/>
        </w:rPr>
        <w:t>Certain of the products manufactured or contracted to be manufactured by the Company contain 3TG that are necessary to the products' functionality or production and therefore subject HEICO to the requirements of the Conflict Minerals Rule. HEICO's in-scope products taken together as a whole contained all four of the 3TG, although all of the in-scope products did not contain each 3TG. For additional information concerning the Company's in-scope products, see "Product Information" below.</w:t>
      </w:r>
    </w:p>
    <w:p>
      <w:pPr>
        <w:spacing w:after="0" w:line="190"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HEICO does not directly source 3TG from mines or SORs, and is in most cases several or more levels removed from these market participants. However, HEICO did not conclude that any of its products were "DRC conflict free."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Reasonable Country of Origin Inquiry</w:t>
      </w:r>
    </w:p>
    <w:p>
      <w:pPr>
        <w:spacing w:after="0" w:line="2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As required by the Conflict Minerals Rule, for 2025, we conducted a "reasonable country of origin inquiry" ("RCOI"). We designed our RCOI in good faith to determine the origin of 3TG that are necessary to the functionality or production of products that we manufacture or contract to manufacture. For our RCOI, to the extent applicable, we utilized the same processes and procedures as for our due diligence, in particular Steps 1 and 2 of the OECD Framework (as defined below), which are discussed below in this Conflict Minerals Report.</w:t>
      </w:r>
    </w:p>
    <w:p>
      <w:pPr>
        <w:spacing w:after="0" w:line="20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Our outreach included suppliers (the "Suppliers") that we identified as having contracted to manufacture products for us or as having sold us products or components included in products that we manufactured, in each case that contained or that we believe may have contained necessary 3TG. We determined which of our products were in-scope or potentially in-scope for purposes of the Conflict Minerals Rule through product specifications, visual inspection, supplier inquiries and other information known to us. Products that we contracted to manufacture also were determined to be in-scope or potentially in-scope based on our degree of influence over the products' manufacture.</w:t>
      </w:r>
    </w:p>
    <w:p>
      <w:pPr>
        <w:spacing w:after="0" w:line="181"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Pursuant to the Conflict Minerals Rule, based on the results of our RCOI, we performed due diligence for 2025. These due diligence efforts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Part III. Due Diligence</w:t>
      </w:r>
    </w:p>
    <w:p>
      <w:pPr>
        <w:spacing w:after="0" w:line="24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1"/>
          <w:szCs w:val="21"/>
          <w:b w:val="1"/>
          <w:bCs w:val="1"/>
          <w:color w:val="auto"/>
        </w:rPr>
        <w:t>Design Framework</w:t>
      </w:r>
    </w:p>
    <w:p>
      <w:pPr>
        <w:spacing w:after="0" w:line="25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For its due diligence, the Company utilizes the framework contemplated by the Organisation for Economic Co-operation and Development's Due Diligence Guidance for Responsible Supply Chains of Minerals from Conflict-Affected and High Risk Areas, including the Supplement on Tin, Tantalum and Tungsten and the Supplement on Gold (Third Edition) (the "OECD Framework").</w:t>
      </w:r>
    </w:p>
    <w:p>
      <w:pPr>
        <w:spacing w:after="0" w:line="19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B.</w:t>
      </w:r>
      <w:r>
        <w:rPr>
          <w:sz w:val="20"/>
          <w:szCs w:val="20"/>
          <w:color w:val="auto"/>
        </w:rPr>
        <w:tab/>
      </w:r>
      <w:r>
        <w:rPr>
          <w:rFonts w:ascii="Times New Roman" w:cs="Times New Roman" w:eastAsia="Times New Roman" w:hAnsi="Times New Roman"/>
          <w:sz w:val="21"/>
          <w:szCs w:val="21"/>
          <w:b w:val="1"/>
          <w:bCs w:val="1"/>
          <w:color w:val="auto"/>
        </w:rPr>
        <w:t>Selected Elements of Due Diligence Program</w:t>
      </w:r>
    </w:p>
    <w:p>
      <w:pPr>
        <w:spacing w:after="0" w:line="251" w:lineRule="exact"/>
        <w:rPr>
          <w:sz w:val="20"/>
          <w:szCs w:val="20"/>
          <w:color w:val="auto"/>
        </w:rPr>
      </w:pPr>
    </w:p>
    <w:p>
      <w:pPr>
        <w:ind w:right="80" w:firstLine="180"/>
        <w:spacing w:after="0" w:line="263" w:lineRule="auto"/>
        <w:rPr>
          <w:sz w:val="20"/>
          <w:szCs w:val="20"/>
          <w:color w:val="auto"/>
        </w:rPr>
      </w:pPr>
      <w:r>
        <w:rPr>
          <w:rFonts w:ascii="Times New Roman" w:cs="Times New Roman" w:eastAsia="Times New Roman" w:hAnsi="Times New Roman"/>
          <w:sz w:val="22"/>
          <w:szCs w:val="22"/>
          <w:color w:val="auto"/>
        </w:rPr>
        <w:t>Selected elements of our due diligence program (the "Program") are discussed below. However, these are not all of the elements of the Program that we have put in place to help ensure that the 3TG contained in our products are responsibly sourced. The headings below conform to the headings used in the OECD Framework for each of its five steps.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Establish Strong Company Management Systems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Conflict Minerals Policy and Grievance Mechanism</w:t>
      </w:r>
    </w:p>
    <w:p>
      <w:pPr>
        <w:spacing w:after="0" w:line="251"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22"/>
          <w:szCs w:val="22"/>
          <w:color w:val="auto"/>
        </w:rPr>
        <w:t>The Company has a Conflict Minerals Policy (the "Policy"). The Policy contains a mechanism for employees, suppliers and other interested parties to report violations of the Policy. The Policy indicates that suppliers who supply or manufacture components, parts or products containing 3TG are expected to:</w:t>
      </w:r>
    </w:p>
    <w:p>
      <w:pPr>
        <w:spacing w:after="0" w:line="194" w:lineRule="exact"/>
        <w:rPr>
          <w:sz w:val="20"/>
          <w:szCs w:val="20"/>
          <w:color w:val="auto"/>
        </w:rPr>
      </w:pPr>
    </w:p>
    <w:p>
      <w:pPr>
        <w:ind w:left="66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Source those minerals from sources that do not directly or indirectly benefit or finance armed groups in the DRC or one of its adjoining countries.</w:t>
      </w:r>
    </w:p>
    <w:p>
      <w:pPr>
        <w:spacing w:after="0" w:line="184" w:lineRule="exact"/>
        <w:rPr>
          <w:rFonts w:ascii="Times New Roman" w:cs="Times New Roman" w:eastAsia="Times New Roman" w:hAnsi="Times New Roman"/>
          <w:sz w:val="18"/>
          <w:szCs w:val="18"/>
          <w:color w:val="auto"/>
        </w:rPr>
      </w:pPr>
    </w:p>
    <w:p>
      <w:pPr>
        <w:ind w:left="660" w:right="6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Implement and communicate to their personnel and suppliers policies that are consistent with the Policy, and require their direct and indirect suppliers to do the same.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Familiarize themselves with the Conflict Minerals Rule and the OECD Framework.</w:t>
      </w:r>
    </w:p>
    <w:p>
      <w:pPr>
        <w:spacing w:after="0" w:line="246" w:lineRule="exact"/>
        <w:rPr>
          <w:rFonts w:ascii="Times New Roman" w:cs="Times New Roman" w:eastAsia="Times New Roman" w:hAnsi="Times New Roman"/>
          <w:sz w:val="18"/>
          <w:szCs w:val="18"/>
          <w:color w:val="auto"/>
        </w:rPr>
      </w:pPr>
    </w:p>
    <w:p>
      <w:pPr>
        <w:ind w:left="660" w:right="72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Put in place procedures for the traceability of 3TG at least to the SOR level, working with their direct and indirect suppliers as applicable.</w:t>
      </w:r>
    </w:p>
    <w:p>
      <w:pPr>
        <w:spacing w:after="0" w:line="184" w:lineRule="exact"/>
        <w:rPr>
          <w:rFonts w:ascii="Times New Roman" w:cs="Times New Roman" w:eastAsia="Times New Roman" w:hAnsi="Times New Roman"/>
          <w:sz w:val="18"/>
          <w:szCs w:val="18"/>
          <w:color w:val="auto"/>
        </w:rPr>
      </w:pPr>
    </w:p>
    <w:p>
      <w:pPr>
        <w:ind w:left="660" w:right="40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possible, source 3TG from SORs validated as being conflict free or the equivalent, and require their direct and indirect suppliers to do the same.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 source conflict minerals originating from or processed by sanctioned parties.</w:t>
      </w:r>
    </w:p>
    <w:p>
      <w:pPr>
        <w:spacing w:after="0" w:line="2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Maintain reviewable business records supporting the source of 3TG.</w:t>
      </w:r>
    </w:p>
    <w:p>
      <w:pPr>
        <w:spacing w:after="0" w:line="246" w:lineRule="exact"/>
        <w:rPr>
          <w:rFonts w:ascii="Times New Roman" w:cs="Times New Roman" w:eastAsia="Times New Roman" w:hAnsi="Times New Roman"/>
          <w:sz w:val="18"/>
          <w:szCs w:val="18"/>
          <w:color w:val="auto"/>
        </w:rPr>
      </w:pPr>
    </w:p>
    <w:p>
      <w:pPr>
        <w:ind w:left="660" w:right="380" w:hanging="328"/>
        <w:spacing w:after="0" w:line="27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From time to time, at HEICO’s request, provide to HEICO written certifications and other information concerning the origin of 3TG included in products and components</w:t>
      </w:r>
    </w:p>
    <w:p>
      <w:pPr>
        <w:sectPr>
          <w:pgSz w:w="11900" w:h="16838" w:orient="portrait"/>
          <w:cols w:equalWidth="0" w:num="1">
            <w:col w:w="11220"/>
          </w:cols>
          <w:pgMar w:left="320" w:top="14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1418" w:right="359" w:bottom="1440" w:gutter="0" w:footer="0" w:header="0"/>
          <w:type w:val="continuous"/>
        </w:sectPr>
      </w:pPr>
    </w:p>
    <w:bookmarkStart w:id="6" w:name="page7"/>
    <w:bookmarkEnd w:id="6"/>
    <w:p>
      <w:pPr>
        <w:ind w:left="660" w:right="40"/>
        <w:spacing w:after="0" w:line="271" w:lineRule="auto"/>
        <w:rPr>
          <w:sz w:val="20"/>
          <w:szCs w:val="20"/>
          <w:color w:val="auto"/>
        </w:rPr>
      </w:pPr>
      <w:r>
        <w:rPr>
          <w:rFonts w:ascii="Times New Roman" w:cs="Times New Roman" w:eastAsia="Times New Roman" w:hAnsi="Times New Roman"/>
          <w:sz w:val="22"/>
          <w:szCs w:val="22"/>
          <w:color w:val="auto"/>
        </w:rPr>
        <w:t>supplied to HEICO and the supplier's compliance with the Policy generally, and require their direct and indirect suppliers to do the same.</w:t>
      </w:r>
    </w:p>
    <w:p>
      <w:pPr>
        <w:spacing w:after="0" w:line="185" w:lineRule="exact"/>
        <w:rPr>
          <w:sz w:val="20"/>
          <w:szCs w:val="20"/>
          <w:color w:val="auto"/>
        </w:rPr>
      </w:pPr>
    </w:p>
    <w:p>
      <w:pPr>
        <w:ind w:left="660" w:right="6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 and require their direct and indirect suppliers to establish, policies, due diligence frameworks and management systems that are consistent with the OECD Framework.</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The Policy indicates that HEICO reserves the right to request supplier information to assess and monitor compliance with the Policy and indicates that a non-compliant supplier may be subject to completing a corrective action plan or possible termination of the business relationship. Furthermore, the Policy also includes a grievance mechanism that enables parties to provide information regarding Policy violations. The contact information for that grievance mechanism is HEICO Corporation, 3000 Taft Street, Hollywood FL 33021; Attention Corporate Secretary.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Policy is communicated internally in writing to selected personnel and is posted on the Company's website 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https://heico.com/wp-content/uploads/2023/11/Conflict-Minerals-Policy.pdf.</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do not seek to embargo the DRC region in our sourcing decisions.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Conflict Minerals Committee</w:t>
      </w:r>
    </w:p>
    <w:p>
      <w:pPr>
        <w:spacing w:after="0" w:line="25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2"/>
          <w:szCs w:val="22"/>
          <w:color w:val="auto"/>
        </w:rPr>
        <w:t>The Company has a Conflict Minerals Committee (the "Committee") that is comprised of personnel from accounting/finance and legal. Leadership of the compliance program resides with our Chief Financial Officer. The Committee is chartered to develop, oversee the execution of, and report on the results of the Program. The Committee is supplemented by a project manager at each subsidiary with in-scope products. The Company also utilizes specialist outside counsel to advise on certain aspects of the Program.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Internal Communications and Training</w:t>
      </w:r>
    </w:p>
    <w:p>
      <w:pPr>
        <w:spacing w:after="0" w:line="26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The Company has developed training materials for the project managers and members of the Committee and selected other personnel with respect to the Conflict Minerals Rule and the Program. The Company trains its subsidiary personnel with respect to the Program and the Company's compliance expectations for suppliers. In addition, selected employees are sent a copy of the Policy and materials discussing the Conflict Minerals Rule and the Program.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Data Collection and Retention</w:t>
      </w:r>
    </w:p>
    <w:p>
      <w:pPr>
        <w:spacing w:after="0" w:line="264"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22"/>
          <w:szCs w:val="22"/>
          <w:color w:val="auto"/>
        </w:rPr>
        <w:t>The Company uses the Conflict Minerals Reporting Template developed by the Responsible Minerals Initiative (the "RMI") to identify SORs in its supply chain. The Company uses an independent third-party service provider (the “Service Provider”) to electronically accept and store all supplier requests and responses in a cloud-based electronic repository system. This system allows the Company to maintain business records relating to its 3TG due diligence, including records of due diligence processes, findings and resulting decisions.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1422" w:right="399" w:bottom="1440" w:gutter="0" w:footer="0" w:header="0"/>
        </w:sectPr>
      </w:pPr>
    </w:p>
    <w:bookmarkStart w:id="7" w:name="page8"/>
    <w:bookmarkEnd w:id="7"/>
    <w:p>
      <w:pPr>
        <w:spacing w:after="0" w:line="271" w:lineRule="auto"/>
        <w:rPr>
          <w:sz w:val="20"/>
          <w:szCs w:val="20"/>
          <w:color w:val="auto"/>
        </w:rPr>
      </w:pPr>
      <w:r>
        <w:rPr>
          <w:rFonts w:ascii="Times New Roman" w:cs="Times New Roman" w:eastAsia="Times New Roman" w:hAnsi="Times New Roman"/>
          <w:sz w:val="22"/>
          <w:szCs w:val="22"/>
          <w:color w:val="auto"/>
        </w:rPr>
        <w:t>Provider maintains records for at least five years. Certain aspects of the Program described herein are administered by the Service Provider on the Company’s behalf.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External Communications</w:t>
      </w:r>
    </w:p>
    <w:p>
      <w:pPr>
        <w:spacing w:after="0" w:line="26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Each year, the Company furnishes an introductory letter describing the Conflict Minerals Rule and various aspects of the Program and compliance relating to the Rule generally to suppliers that the Company determined to potentially be in-scope for that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Identify and Assess Risks in the Supply Chain</w:t>
      </w:r>
    </w:p>
    <w:p>
      <w:pPr>
        <w:spacing w:after="0" w:line="251" w:lineRule="exact"/>
        <w:rPr>
          <w:sz w:val="20"/>
          <w:szCs w:val="20"/>
          <w:color w:val="auto"/>
        </w:rPr>
      </w:pPr>
    </w:p>
    <w:p>
      <w:pPr>
        <w:ind w:right="100" w:firstLine="180"/>
        <w:spacing w:after="0" w:line="256" w:lineRule="auto"/>
        <w:rPr>
          <w:sz w:val="20"/>
          <w:szCs w:val="20"/>
          <w:color w:val="auto"/>
        </w:rPr>
      </w:pPr>
      <w:r>
        <w:rPr>
          <w:rFonts w:ascii="Times New Roman" w:cs="Times New Roman" w:eastAsia="Times New Roman" w:hAnsi="Times New Roman"/>
          <w:sz w:val="22"/>
          <w:szCs w:val="22"/>
          <w:color w:val="auto"/>
        </w:rPr>
        <w:t>For 2025, the Company sent requests to approximately 760 Suppliers to provide it with a completed Conflict Minerals Reporting Template. The Company requested that the Suppliers furnish it with a completed template at the product level (i.e., specific to the products the Supplier sold the Company). The Company followed up by email with Suppliers that did not provide a response within the time frame specified in the request.</w:t>
      </w:r>
    </w:p>
    <w:p>
      <w:pPr>
        <w:spacing w:after="0" w:line="176" w:lineRule="exact"/>
        <w:rPr>
          <w:sz w:val="20"/>
          <w:szCs w:val="20"/>
          <w:color w:val="auto"/>
        </w:rPr>
      </w:pPr>
    </w:p>
    <w:p>
      <w:pPr>
        <w:ind w:right="140" w:firstLine="180"/>
        <w:spacing w:after="0" w:line="271" w:lineRule="auto"/>
        <w:rPr>
          <w:sz w:val="20"/>
          <w:szCs w:val="20"/>
          <w:color w:val="auto"/>
        </w:rPr>
      </w:pPr>
      <w:r>
        <w:rPr>
          <w:rFonts w:ascii="Times New Roman" w:cs="Times New Roman" w:eastAsia="Times New Roman" w:hAnsi="Times New Roman"/>
          <w:sz w:val="22"/>
          <w:szCs w:val="22"/>
          <w:color w:val="auto"/>
        </w:rPr>
        <w:t>Supplier responses are evaluated for plausibility, consistency, and gaps. If any specific quality control flags were raised by the responses, the Supplier was asked by the Service Provider to submit a corrected Conflict Minerals Reporting Template.</w:t>
      </w:r>
    </w:p>
    <w:p>
      <w:pPr>
        <w:spacing w:after="0" w:line="185"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22"/>
          <w:szCs w:val="22"/>
          <w:color w:val="auto"/>
        </w:rPr>
        <w:t>In addition, SOR information provided by Suppliers is reviewed against the Service Provider's SOR database, which is kept current through its participation in RMI. Identified SORs were reviewed for conformance or the equivalent with the audit standards of the RMI’s Responsible Minerals Assurance Process ("RMAP"), the London Bullion Market Association Good Delivery Program and/or the Responsible Jewellery Council Chain-of-Custody Certification.</w:t>
      </w:r>
    </w:p>
    <w:p>
      <w:pPr>
        <w:spacing w:after="0" w:line="203" w:lineRule="exact"/>
        <w:rPr>
          <w:sz w:val="20"/>
          <w:szCs w:val="20"/>
          <w:color w:val="auto"/>
        </w:rPr>
      </w:pPr>
    </w:p>
    <w:p>
      <w:pPr>
        <w:ind w:right="40" w:firstLine="180"/>
        <w:spacing w:after="0" w:line="250" w:lineRule="auto"/>
        <w:rPr>
          <w:sz w:val="20"/>
          <w:szCs w:val="20"/>
          <w:color w:val="auto"/>
        </w:rPr>
      </w:pPr>
      <w:r>
        <w:rPr>
          <w:rFonts w:ascii="Times New Roman" w:cs="Times New Roman" w:eastAsia="Times New Roman" w:hAnsi="Times New Roman"/>
          <w:sz w:val="22"/>
          <w:szCs w:val="22"/>
          <w:color w:val="auto"/>
        </w:rPr>
        <w:t>If a SOR was not listed as Conformant (as defined below) or the equivalent by one of the foregoing, the Service Provider attempted to contact the SOR to gain more information about its sourcing practices, including mineral countries of origin and transfer, and whether there are any internal due diligence procedures in place or other processes the SOR takes to track the chain-of-custody on the source of its 3TG. The Service Provider also performed internet research to determine whether there are any outside sources of information regarding the SOR’s sourcing practices. For 2025, the Suppliers identified SORs in Conflict Minerals Reporting Templates ("CMRTs"). Summary information regarding the SORs included in CMRTs prepared at the product level is set forth below under Part IV. Product Information; SOR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Design and Implement a Strategy to Respond to Identified Risks</w:t>
      </w:r>
    </w:p>
    <w:p>
      <w:pPr>
        <w:spacing w:after="0" w:line="251"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Senior management of the Company was briefed on Program findings. Any identified risks are assessed and addressed on a case-by-case basis.</w:t>
      </w:r>
    </w:p>
    <w:p>
      <w:pPr>
        <w:spacing w:after="0" w:line="185"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See "Additional Risk Mitigation Measures" below for additional steps that the Company intends to take to mitigate the risk that the necessary 3TG in its in-scope products benefit armed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2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Carry Out Independent Third-Party Audit of Smelter/Refiner's Due Diligence Practices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Program utilizes information made available by the RMI concerning independent third-party audits of SORs.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Annually on Supply Chain Due Diligence</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year, the Company files a Form SD and a Conflict Minerals Report. The Form SD and the Conflict Minerals Report are made available on HEICO's website.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IV. Product Information; SOR Information</w:t>
      </w:r>
    </w:p>
    <w:p>
      <w:pPr>
        <w:spacing w:after="0" w:line="251"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The following categories of products were in-scope for 2025. However, not all of the Company's products in these categories were in-scope.</w:t>
      </w:r>
    </w:p>
    <w:p>
      <w:pPr>
        <w:spacing w:after="0" w:line="19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Factory-New Jet Engine and Aircraft Component Replacement Parts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Parts Utilized in Repair and Overhaul Services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Specialty Aircraft/Defense Related Parts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Electro-Optical Infrared Simulation and Test Equipment</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Electro-Optical Laser Products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Electro-Optical, Microwave and Other Power Equipment</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Electromagnetic Interference and Radio Interference Shielding and Suppression Filters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High-Speed Interface Products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High Voltage Interconnection Devices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High Voltage Advanced Power Electronics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Power Conversion Products</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Underwater Locator Beacons and Emergency Locator Transmission Beacons</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Traveling Wave Tube Amplifiers and Microwave Power Modules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Memory Products and Specialty Semiconductors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Harsh Environment Connectivity Products and Custom Molded Cable Assemblies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RF and Microwave Products</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 Performance Communications and Electronic Intercept Receivers and Tuners</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Crashworthy and Ballistically Self-sealing Auxiliary Fuel Systems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High Performance Active Antenna Systems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Nuclear Radiation Detectors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Specialty Silicone Products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High-End Power Amplifiers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High-Reliability Ceramic-to-Metal Feedthroughs and Connectors</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High-end Radio Frequency Receivers and Sources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Technical Surveillance Countermeasures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 Performance Test Sockets and Adapters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Hi-Rel, Passive Electronic Components and Rotary Joint Assemblies</w:t>
      </w:r>
    </w:p>
    <w:p>
      <w:pPr>
        <w:spacing w:after="0" w:line="236" w:lineRule="exact"/>
        <w:rPr>
          <w:sz w:val="20"/>
          <w:szCs w:val="20"/>
          <w:color w:val="auto"/>
        </w:rPr>
      </w:pPr>
    </w:p>
    <w:p>
      <w:pPr>
        <w:jc w:val="both"/>
        <w:ind w:right="260" w:firstLine="648"/>
        <w:spacing w:after="0" w:line="257" w:lineRule="auto"/>
        <w:rPr>
          <w:sz w:val="20"/>
          <w:szCs w:val="20"/>
          <w:color w:val="auto"/>
        </w:rPr>
      </w:pPr>
      <w:r>
        <w:rPr>
          <w:rFonts w:ascii="Times New Roman" w:cs="Times New Roman" w:eastAsia="Times New Roman" w:hAnsi="Times New Roman"/>
          <w:sz w:val="22"/>
          <w:szCs w:val="22"/>
          <w:color w:val="auto"/>
        </w:rPr>
        <w:t>Notwithstanding its due diligence efforts, for 2025, the majority of CMRT responses received from the Suppliers were prepared at the company level or otherwise omitted information concerning the SORs in the Company's supply chain (i.e., the responses pertained to</w:t>
      </w:r>
    </w:p>
    <w:p>
      <w:pPr>
        <w:sectPr>
          <w:pgSz w:w="11900" w:h="16838" w:orient="portrait"/>
          <w:cols w:equalWidth="0" w:num="1">
            <w:col w:w="11140"/>
          </w:cols>
          <w:pgMar w:left="320" w:top="141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40"/>
          </w:cols>
          <w:pgMar w:left="320" w:top="1418" w:right="439" w:bottom="1440" w:gutter="0" w:footer="0" w:header="0"/>
          <w:type w:val="continuous"/>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22"/>
          <w:szCs w:val="22"/>
          <w:color w:val="auto"/>
        </w:rPr>
        <w:t>all of the Supplier's products, rather than only those sold to the Company). For responses prepared at this level, the Company was unable to determine the SORs or related countries of origin specific to the necessary 3TG contained in the products that the Company manufactured or contracted to manufacture. For 2025, the Company received 47 Supplier responses that were prepared at the product level.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the SORs identified in product level CMRTs by metal and status category:</w:t>
      </w:r>
    </w:p>
    <w:tbl>
      <w:tblPr>
        <w:tblLayout w:type="fixed"/>
        <w:tblInd w:w="780" w:type="dxa"/>
        <w:tblCellMar>
          <w:top w:w="0" w:type="dxa"/>
          <w:left w:w="0" w:type="dxa"/>
          <w:bottom w:w="0" w:type="dxa"/>
          <w:right w:w="0" w:type="dxa"/>
        </w:tblCellMar>
      </w:tblPr>
      <w:tr>
        <w:trPr>
          <w:trHeight w:val="247"/>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Metal</w:t>
            </w:r>
          </w:p>
        </w:tc>
        <w:tc>
          <w:tcPr>
            <w:tcW w:w="18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b w:val="1"/>
                <w:bCs w:val="1"/>
                <w:color w:val="auto"/>
              </w:rPr>
              <w:t>Conformant</w:t>
            </w:r>
          </w:p>
        </w:tc>
        <w:tc>
          <w:tcPr>
            <w:tcW w:w="1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22"/>
                <w:szCs w:val="22"/>
                <w:b w:val="1"/>
                <w:bCs w:val="1"/>
                <w:color w:val="auto"/>
              </w:rPr>
              <w:t>Active</w:t>
            </w:r>
          </w:p>
        </w:tc>
        <w:tc>
          <w:tcPr>
            <w:tcW w:w="1800" w:type="dxa"/>
            <w:vAlign w:val="bottom"/>
          </w:tcPr>
          <w:p>
            <w:pPr>
              <w:jc w:val="right"/>
              <w:ind w:right="18"/>
              <w:spacing w:after="0" w:line="247" w:lineRule="exact"/>
              <w:rPr>
                <w:sz w:val="20"/>
                <w:szCs w:val="20"/>
                <w:color w:val="auto"/>
              </w:rPr>
            </w:pPr>
            <w:r>
              <w:rPr>
                <w:rFonts w:ascii="Times New Roman" w:cs="Times New Roman" w:eastAsia="Times New Roman" w:hAnsi="Times New Roman"/>
                <w:sz w:val="22"/>
                <w:szCs w:val="22"/>
                <w:b w:val="1"/>
                <w:bCs w:val="1"/>
                <w:color w:val="auto"/>
              </w:rPr>
              <w:t>Smelter Look-up</w:t>
            </w:r>
          </w:p>
        </w:tc>
        <w:tc>
          <w:tcPr>
            <w:tcW w:w="0" w:type="dxa"/>
            <w:vAlign w:val="bottom"/>
          </w:tcPr>
          <w:p>
            <w:pPr>
              <w:spacing w:after="0"/>
              <w:rPr>
                <w:sz w:val="1"/>
                <w:szCs w:val="1"/>
                <w:color w:val="auto"/>
              </w:rPr>
            </w:pPr>
          </w:p>
        </w:tc>
      </w:tr>
      <w:tr>
        <w:trPr>
          <w:trHeight w:val="283"/>
        </w:trPr>
        <w:tc>
          <w:tcPr>
            <w:tcW w:w="4780" w:type="dxa"/>
            <w:vAlign w:val="bottom"/>
            <w:gridSpan w:val="2"/>
            <w:vMerge w:val="continue"/>
          </w:tcPr>
          <w:p>
            <w:pPr>
              <w:spacing w:after="0"/>
              <w:rPr>
                <w:sz w:val="24"/>
                <w:szCs w:val="24"/>
                <w:color w:val="auto"/>
              </w:rPr>
            </w:pPr>
          </w:p>
        </w:tc>
        <w:tc>
          <w:tcPr>
            <w:tcW w:w="1880" w:type="dxa"/>
            <w:vAlign w:val="bottom"/>
            <w:gridSpan w:val="2"/>
            <w:vMerge w:val="continue"/>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1800" w:type="dxa"/>
            <w:vAlign w:val="bottom"/>
          </w:tcPr>
          <w:p>
            <w:pPr>
              <w:jc w:val="right"/>
              <w:ind w:right="178"/>
              <w:spacing w:after="0"/>
              <w:rPr>
                <w:sz w:val="20"/>
                <w:szCs w:val="20"/>
                <w:color w:val="auto"/>
              </w:rPr>
            </w:pPr>
            <w:r>
              <w:rPr>
                <w:rFonts w:ascii="Times New Roman" w:cs="Times New Roman" w:eastAsia="Times New Roman" w:hAnsi="Times New Roman"/>
                <w:sz w:val="22"/>
                <w:szCs w:val="22"/>
                <w:b w:val="1"/>
                <w:bCs w:val="1"/>
                <w:color w:val="auto"/>
              </w:rPr>
              <w:t>List Tab Only</w:t>
            </w:r>
          </w:p>
        </w:tc>
        <w:tc>
          <w:tcPr>
            <w:tcW w:w="0" w:type="dxa"/>
            <w:vAlign w:val="bottom"/>
          </w:tcPr>
          <w:p>
            <w:pPr>
              <w:spacing w:after="0"/>
              <w:rPr>
                <w:sz w:val="1"/>
                <w:szCs w:val="1"/>
                <w:color w:val="auto"/>
              </w:rPr>
            </w:pPr>
          </w:p>
        </w:tc>
      </w:tr>
      <w:tr>
        <w:trPr>
          <w:trHeight w:val="250"/>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Gold</w:t>
            </w:r>
          </w:p>
        </w:tc>
        <w:tc>
          <w:tcPr>
            <w:tcW w:w="10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57"/>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Tantalum</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Tin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Tungsten</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75"/>
        </w:trPr>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note the following in connection with the information in the table:</w:t>
      </w:r>
    </w:p>
    <w:p>
      <w:pPr>
        <w:spacing w:after="0" w:line="247" w:lineRule="exact"/>
        <w:rPr>
          <w:sz w:val="20"/>
          <w:szCs w:val="20"/>
          <w:color w:val="auto"/>
        </w:rPr>
      </w:pPr>
    </w:p>
    <w:p>
      <w:pPr>
        <w:ind w:left="660" w:right="300" w:hanging="328"/>
        <w:spacing w:after="0" w:line="268" w:lineRule="auto"/>
        <w:tabs>
          <w:tab w:leader="none" w:pos="65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all of the SORs included in the summary table may have processed the necessary 3TG contained in our in-scope products. Some Suppliers may have reported SORs that were not in our supply chain due to over-inclusiveness in the information received from their suppliers or for other reasons. In addition, the summary table may not reflect all of the SORs in our supply chain, since some Suppliers did not identify all of the SORs used to process the necessary 3TG content contained in our in-scope products and because not all Suppliers responded to our inquiries.</w:t>
      </w:r>
    </w:p>
    <w:p>
      <w:pPr>
        <w:spacing w:after="0" w:line="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in the table is as of May 15, 2026.</w:t>
      </w:r>
    </w:p>
    <w:p>
      <w:pPr>
        <w:spacing w:after="0" w:line="57" w:lineRule="exact"/>
        <w:rPr>
          <w:rFonts w:ascii="Times New Roman" w:cs="Times New Roman" w:eastAsia="Times New Roman" w:hAnsi="Times New Roman"/>
          <w:sz w:val="22"/>
          <w:szCs w:val="22"/>
          <w:color w:val="auto"/>
        </w:rPr>
      </w:pPr>
    </w:p>
    <w:p>
      <w:pPr>
        <w:ind w:left="660" w:right="80" w:hanging="328"/>
        <w:spacing w:after="0" w:line="257"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“Conformant” means that a SOR has successfully completed an assessment against the applicable RMAP standard or an equivalent cross-recognized assessment. Included SORs were not necessarily Conformant for all or part of calendar 2025 and may not continue to be Conformant for any future period.</w:t>
      </w:r>
    </w:p>
    <w:p>
      <w:pPr>
        <w:spacing w:after="0" w:line="1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 means that the SOR is currently engaged in the RMAP but a conformance determination has yet to be made.</w:t>
      </w:r>
    </w:p>
    <w:p>
      <w:pPr>
        <w:spacing w:after="0" w:line="71" w:lineRule="exact"/>
        <w:rPr>
          <w:rFonts w:ascii="Times New Roman" w:cs="Times New Roman" w:eastAsia="Times New Roman" w:hAnsi="Times New Roman"/>
          <w:sz w:val="22"/>
          <w:szCs w:val="22"/>
          <w:color w:val="auto"/>
        </w:rPr>
      </w:pPr>
    </w:p>
    <w:p>
      <w:pPr>
        <w:jc w:val="both"/>
        <w:ind w:left="660" w:right="400" w:hanging="328"/>
        <w:spacing w:after="0" w:line="252"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“Smelter Look-up List Tab Only” means that a SOR is listed on the Smelter Look-up list tab of the Conflict Minerals Reporting Template, but is not listed as “Conformant” or “Active.” The RMI website notes that, due to the eligibility criteria for an RMAP assessment, SORs are sometimes removed from the Conformant list because they are no longer operational and not because they are non-conformant to the standard.</w:t>
      </w:r>
    </w:p>
    <w:p>
      <w:pPr>
        <w:spacing w:after="0" w:line="17" w:lineRule="exact"/>
        <w:rPr>
          <w:rFonts w:ascii="Times New Roman" w:cs="Times New Roman" w:eastAsia="Times New Roman" w:hAnsi="Times New Roman"/>
          <w:sz w:val="22"/>
          <w:szCs w:val="22"/>
          <w:color w:val="auto"/>
        </w:rPr>
      </w:pPr>
    </w:p>
    <w:p>
      <w:pPr>
        <w:ind w:left="660" w:right="200" w:hanging="328"/>
        <w:spacing w:after="0" w:line="284"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status reflected in the table is based solely on information made publicly available by the RMI, without independent verification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22" w:right="379" w:bottom="1440" w:gutter="0" w:footer="0" w:header="0"/>
        </w:sectPr>
      </w:pPr>
    </w:p>
    <w:bookmarkStart w:id="10" w:name="page11"/>
    <w:bookmarkEnd w:id="10"/>
    <w:p>
      <w:pPr>
        <w:ind w:right="220" w:firstLine="648"/>
        <w:spacing w:after="0" w:line="251" w:lineRule="auto"/>
        <w:rPr>
          <w:sz w:val="20"/>
          <w:szCs w:val="20"/>
          <w:color w:val="auto"/>
        </w:rPr>
      </w:pPr>
      <w:r>
        <w:rPr>
          <w:rFonts w:ascii="Times New Roman" w:cs="Times New Roman" w:eastAsia="Times New Roman" w:hAnsi="Times New Roman"/>
          <w:sz w:val="22"/>
          <w:szCs w:val="22"/>
          <w:color w:val="auto"/>
        </w:rPr>
        <w:t>For 2025, none of the necessary 3TG contained in the Company's in-scope products were determined by it to directly or indirectly finance or benefit armed groups in the DRC or an adjoining country. An "armed group" under the Conflict Minerals Rule is an armed group that is identified as a perpetrator of serious human rights abuses in annual Country Reports on Human Rights Practices under sections 116(d) and 502B(b) of the Foreign Assistance Act of 1961 relating to the DRC or an adjoining country. However, the Company did not conclude that any of its products were "DRC conflict free." The terms "adjoining country" and "DRC conflict free" have the meanings contained in the Conflict Minerals Rule.</w:t>
      </w:r>
    </w:p>
    <w:p>
      <w:pPr>
        <w:spacing w:after="0" w:line="208" w:lineRule="exact"/>
        <w:rPr>
          <w:sz w:val="20"/>
          <w:szCs w:val="20"/>
          <w:color w:val="auto"/>
        </w:rPr>
      </w:pPr>
    </w:p>
    <w:p>
      <w:pPr>
        <w:ind w:right="160" w:firstLine="180"/>
        <w:spacing w:after="0" w:line="253" w:lineRule="auto"/>
        <w:rPr>
          <w:sz w:val="20"/>
          <w:szCs w:val="20"/>
          <w:color w:val="auto"/>
        </w:rPr>
      </w:pPr>
      <w:r>
        <w:rPr>
          <w:rFonts w:ascii="Times New Roman" w:cs="Times New Roman" w:eastAsia="Times New Roman" w:hAnsi="Times New Roman"/>
          <w:sz w:val="22"/>
          <w:szCs w:val="22"/>
          <w:color w:val="auto"/>
        </w:rPr>
        <w:t>The Company has endeavored to determine the mine or location of origin of the necessary 3TG contained in its in-scope products by requesting that the Suppliers provide the Company with a completed CMRT. Under the Program's procedures, if a SOR in the Company's supply chain is identified by the Company, to the extent available, the Company or the Service Provider on its behalf also will request further information from the supplier, consult publicly available or other information or attempt to contact the SOR to determine the mine or location of origin of the 3TG processed by the SOR.</w:t>
      </w:r>
    </w:p>
    <w:p>
      <w:pPr>
        <w:spacing w:after="0" w:line="192"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The countries of origin of the 3TG processed by the SORs summarized above may include the countries listed below, as well as possibly other countries. Conversely, the 3TG in the Company's in-scope products may not have originated in all of the countries below. In addition, some of the SORs may have processed 3TG originating from recycled or scrap sources.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Angola*</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Estonia</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Madagascar</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Slovakia</w:t>
            </w:r>
          </w:p>
        </w:tc>
      </w:tr>
      <w:tr>
        <w:trPr>
          <w:trHeight w:val="257"/>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Argentina</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Ethiopia</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Malaysia</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Armenia</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Finland</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Mali</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South Sudan*</w:t>
            </w:r>
          </w:p>
        </w:tc>
      </w:tr>
      <w:tr>
        <w:trPr>
          <w:trHeight w:val="256"/>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Australia</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France</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Mexico</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Spain</w:t>
            </w:r>
          </w:p>
        </w:tc>
      </w:tr>
      <w:tr>
        <w:trPr>
          <w:trHeight w:val="25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Austria</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Germany</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Mongolia</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Suriname</w:t>
            </w:r>
          </w:p>
        </w:tc>
      </w:tr>
      <w:tr>
        <w:trPr>
          <w:trHeight w:val="257"/>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Belarus</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Ghana</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Morocco</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Sweden</w:t>
            </w:r>
          </w:p>
        </w:tc>
      </w:tr>
      <w:tr>
        <w:trPr>
          <w:trHeight w:val="25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Belgium</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Guinea</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Mozambique</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Switzerland</w:t>
            </w:r>
          </w:p>
        </w:tc>
      </w:tr>
      <w:tr>
        <w:trPr>
          <w:trHeight w:val="257"/>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Bermuda</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Guyana</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Myanmar</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Taiwan</w:t>
            </w:r>
          </w:p>
        </w:tc>
      </w:tr>
      <w:tr>
        <w:trPr>
          <w:trHeight w:val="25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Bolivia</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Hungary</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Namibia</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Tajikistan</w:t>
            </w:r>
          </w:p>
        </w:tc>
      </w:tr>
      <w:tr>
        <w:trPr>
          <w:trHeight w:val="257"/>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Brazil</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India</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Netherlands</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Tanzania*</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Burundi*</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Indonesia</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New Zealand</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Thailand</w:t>
            </w:r>
          </w:p>
        </w:tc>
      </w:tr>
      <w:tr>
        <w:trPr>
          <w:trHeight w:val="256"/>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Cambodia</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Ireland</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Niger</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Turkey</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Canada</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Israel</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Nigeria</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Uganda*</w:t>
            </w:r>
          </w:p>
        </w:tc>
      </w:tr>
      <w:tr>
        <w:trPr>
          <w:trHeight w:val="256"/>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Central African Republic*</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Italy</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Papua New Guinea</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Chile</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Ivory Coast</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Peru</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56"/>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China</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Japan</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Philippines</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United States</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Colombia</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Jersey</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Poland</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Uzbekistan</w:t>
            </w:r>
          </w:p>
        </w:tc>
      </w:tr>
      <w:tr>
        <w:trPr>
          <w:trHeight w:val="256"/>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Republic of the Congo*</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Kazakhstan</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Portugal</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Vietnam</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Czech Republic</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Kenya</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Russian Federation</w:t>
            </w:r>
          </w:p>
        </w:tc>
        <w:tc>
          <w:tcPr>
            <w:tcW w:w="2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20"/>
                <w:szCs w:val="20"/>
                <w:color w:val="auto"/>
              </w:rPr>
              <w:t>Zambia*</w:t>
            </w:r>
          </w:p>
        </w:tc>
      </w:tr>
      <w:tr>
        <w:trPr>
          <w:trHeight w:val="257"/>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Djibouti</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Korea, Republic of</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Rwanda*</w:t>
            </w:r>
          </w:p>
        </w:tc>
        <w:tc>
          <w:tcPr>
            <w:tcW w:w="2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Zimbabwe*</w:t>
            </w:r>
          </w:p>
        </w:tc>
      </w:tr>
      <w:tr>
        <w:trPr>
          <w:trHeight w:val="25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Democratic Republic of the Congo*</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Kyrgyzstan</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Saudi Arabia</w:t>
            </w:r>
          </w:p>
        </w:tc>
        <w:tc>
          <w:tcPr>
            <w:tcW w:w="2940" w:type="dxa"/>
            <w:vAlign w:val="bottom"/>
            <w:shd w:val="clear" w:color="auto" w:fill="CCEEFF"/>
          </w:tcPr>
          <w:p>
            <w:pPr>
              <w:spacing w:after="0"/>
              <w:rPr>
                <w:sz w:val="22"/>
                <w:szCs w:val="22"/>
                <w:color w:val="auto"/>
              </w:rPr>
            </w:pPr>
          </w:p>
        </w:tc>
      </w:tr>
      <w:tr>
        <w:trPr>
          <w:trHeight w:val="257"/>
        </w:trPr>
        <w:tc>
          <w:tcPr>
            <w:tcW w:w="34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Ecuador</w:t>
            </w:r>
          </w:p>
        </w:tc>
        <w:tc>
          <w:tcPr>
            <w:tcW w:w="2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Laos</w:t>
            </w:r>
          </w:p>
        </w:tc>
        <w:tc>
          <w:tcPr>
            <w:tcW w:w="23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Sierra Leone</w:t>
            </w:r>
          </w:p>
        </w:tc>
        <w:tc>
          <w:tcPr>
            <w:tcW w:w="2940" w:type="dxa"/>
            <w:vAlign w:val="bottom"/>
          </w:tcPr>
          <w:p>
            <w:pPr>
              <w:spacing w:after="0"/>
              <w:rPr>
                <w:sz w:val="22"/>
                <w:szCs w:val="22"/>
                <w:color w:val="auto"/>
              </w:rPr>
            </w:pPr>
          </w:p>
        </w:tc>
      </w:tr>
      <w:tr>
        <w:trPr>
          <w:trHeight w:val="25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Egypt</w:t>
            </w:r>
          </w:p>
        </w:tc>
        <w:tc>
          <w:tcPr>
            <w:tcW w:w="24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Luxembourg</w:t>
            </w:r>
          </w:p>
        </w:tc>
        <w:tc>
          <w:tcPr>
            <w:tcW w:w="2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Singapore</w:t>
            </w:r>
          </w:p>
        </w:tc>
        <w:tc>
          <w:tcPr>
            <w:tcW w:w="2940" w:type="dxa"/>
            <w:vAlign w:val="bottom"/>
            <w:shd w:val="clear" w:color="auto" w:fill="CCEEFF"/>
          </w:tcPr>
          <w:p>
            <w:pPr>
              <w:spacing w:after="0"/>
              <w:rPr>
                <w:sz w:val="22"/>
                <w:szCs w:val="2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Represents a covered country for purposes of the Conflict Minerals Rule (i.e., the DRC or an adjoining country).</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22"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Additional Risk Mitigation Measures</w:t>
      </w:r>
    </w:p>
    <w:p>
      <w:pPr>
        <w:spacing w:after="0" w:line="251"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The Company intends to perform the following additional activities to mitigate the risk that the necessary 3TG in its in-scope products are benefiting armed groups in the DRC or its adjoining countries:</w:t>
      </w:r>
    </w:p>
    <w:p>
      <w:pPr>
        <w:spacing w:after="0" w:line="185" w:lineRule="exact"/>
        <w:rPr>
          <w:sz w:val="20"/>
          <w:szCs w:val="20"/>
          <w:color w:val="auto"/>
        </w:rPr>
      </w:pPr>
    </w:p>
    <w:p>
      <w:pPr>
        <w:ind w:left="660" w:right="200" w:hanging="328"/>
        <w:spacing w:after="0" w:line="26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Provide continuing education for the Committee and project managers and other relevant personnel concerning developments affecting the Conflict Minerals Rule, market practice and the Program to enhance the effectiveness of the Program.</w:t>
      </w:r>
    </w:p>
    <w:p>
      <w:pPr>
        <w:spacing w:after="0" w:line="194" w:lineRule="exact"/>
        <w:rPr>
          <w:rFonts w:ascii="Times New Roman" w:cs="Times New Roman" w:eastAsia="Times New Roman" w:hAnsi="Times New Roman"/>
          <w:sz w:val="18"/>
          <w:szCs w:val="18"/>
          <w:color w:val="auto"/>
        </w:rPr>
      </w:pPr>
    </w:p>
    <w:p>
      <w:pPr>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Communicate to new suppliers the Company's sourcing expectations, including through the dissemination of the Policy to them. In addition, as new suppliers are on-boarded, work with these suppliers to ensure that they understand the requirements of the Conflict Minerals Rule and the OECD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1200"/>
      </w:cols>
      <w:pgMar w:left="320" w:top="14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2026-05-29T13:14:32Z</dcterms:created>
  <dcterms:modified xsi:type="dcterms:W3CDTF">2026-05-29T13:14:32Z</dcterms:modified>
</cp:coreProperties>
</file>