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7033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MENDELSON VICTOR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825 BRICKELL BAY DRIVE, SUITE 1644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HEICO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HEI, HEI.A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6"/>
          <w:szCs w:val="16"/>
          <w:color w:val="0000FF"/>
        </w:rPr>
        <w:t xml:space="preserve">Co-COB and Co-CEO </w:t>
      </w:r>
      <w:r>
        <w:rPr>
          <w:rFonts w:ascii="Times New Roman" w:cs="Times New Roman" w:eastAsia="Times New Roman" w:hAnsi="Times New Roman"/>
          <w:sz w:val="19"/>
          <w:szCs w:val="19"/>
          <w:color w:val="000000"/>
        </w:rPr>
        <w:t>/</w:t>
      </w:r>
      <w:r>
        <w:rPr>
          <w:rFonts w:ascii="Times New Roman" w:cs="Times New Roman" w:eastAsia="Times New Roman" w:hAnsi="Times New Roman"/>
          <w:sz w:val="16"/>
          <w:szCs w:val="16"/>
          <w:color w:val="0000FF"/>
        </w:rPr>
        <w:t xml:space="preserve"> Member of 10%</w:t>
      </w:r>
    </w:p>
    <w:p>
      <w:pPr>
        <w:spacing w:after="0" w:line="41"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owner group</w:t>
      </w:r>
    </w:p>
    <w:p>
      <w:pPr>
        <w:spacing w:after="0" w:line="146"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14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80" w:type="dxa"/>
            <w:vAlign w:val="bottom"/>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Pr>
          <w:p>
            <w:pPr>
              <w:ind w:left="300"/>
              <w:spacing w:after="0"/>
              <w:rPr>
                <w:sz w:val="20"/>
                <w:szCs w:val="20"/>
                <w:color w:val="auto"/>
              </w:rPr>
            </w:pPr>
            <w:r>
              <w:rPr>
                <w:rFonts w:ascii="Arial" w:cs="Arial" w:eastAsia="Arial" w:hAnsi="Arial"/>
                <w:sz w:val="13"/>
                <w:szCs w:val="13"/>
                <w:color w:val="auto"/>
                <w:w w:val="97"/>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33131</w:t>
            </w:r>
          </w:p>
        </w:tc>
        <w:tc>
          <w:tcPr>
            <w:tcW w:w="3680" w:type="dxa"/>
            <w:vAlign w:val="bottom"/>
          </w:tcPr>
          <w:p>
            <w:pPr>
              <w:spacing w:after="0"/>
              <w:rPr>
                <w:sz w:val="14"/>
                <w:szCs w:val="14"/>
                <w:color w:val="auto"/>
              </w:rPr>
            </w:pPr>
          </w:p>
        </w:tc>
        <w:tc>
          <w:tcPr>
            <w:tcW w:w="3220" w:type="dxa"/>
            <w:vAlign w:val="bottom"/>
          </w:tcPr>
          <w:p>
            <w:pPr>
              <w:ind w:left="30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3220" w:type="dxa"/>
            <w:vAlign w:val="bottom"/>
            <w:vMerge w:val="restart"/>
          </w:tcPr>
          <w:p>
            <w:pPr>
              <w:ind w:left="8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8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1620" w:type="dxa"/>
            <w:vAlign w:val="bottom"/>
            <w:tcBorders>
              <w:bottom w:val="single" w:sz="8" w:color="9A9A9A"/>
            </w:tcBorders>
          </w:tcPr>
          <w:p>
            <w:pPr>
              <w:spacing w:after="0"/>
              <w:rPr>
                <w:sz w:val="2"/>
                <w:szCs w:val="2"/>
                <w:color w:val="auto"/>
              </w:rPr>
            </w:pPr>
          </w:p>
        </w:tc>
        <w:tc>
          <w:tcPr>
            <w:tcW w:w="3680" w:type="dxa"/>
            <w:vAlign w:val="bottom"/>
          </w:tcPr>
          <w:p>
            <w:pPr>
              <w:spacing w:after="0"/>
              <w:rPr>
                <w:sz w:val="2"/>
                <w:szCs w:val="2"/>
                <w:color w:val="auto"/>
              </w:rPr>
            </w:pPr>
          </w:p>
        </w:tc>
        <w:tc>
          <w:tcPr>
            <w:tcW w:w="3220" w:type="dxa"/>
            <w:vAlign w:val="bottom"/>
            <w:vMerge w:val="restart"/>
          </w:tcPr>
          <w:p>
            <w:pPr>
              <w:ind w:left="8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(State)</w:t>
            </w:r>
          </w:p>
        </w:tc>
        <w:tc>
          <w:tcPr>
            <w:tcW w:w="5300" w:type="dxa"/>
            <w:vAlign w:val="bottom"/>
            <w:gridSpan w:val="2"/>
            <w:vMerge w:val="restart"/>
          </w:tcPr>
          <w:p>
            <w:pPr>
              <w:ind w:left="420"/>
              <w:spacing w:after="0"/>
              <w:rPr>
                <w:sz w:val="20"/>
                <w:szCs w:val="20"/>
                <w:color w:val="auto"/>
              </w:rPr>
            </w:pPr>
            <w:r>
              <w:rPr>
                <w:rFonts w:ascii="Arial" w:cs="Arial" w:eastAsia="Arial" w:hAnsi="Arial"/>
                <w:sz w:val="13"/>
                <w:szCs w:val="13"/>
                <w:color w:val="auto"/>
              </w:rPr>
              <w:t>(Zip)</w:t>
            </w:r>
          </w:p>
        </w:tc>
        <w:tc>
          <w:tcPr>
            <w:tcW w:w="3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3220" w:type="dxa"/>
            <w:vAlign w:val="bottom"/>
          </w:tcPr>
          <w:p>
            <w:pPr>
              <w:ind w:left="8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24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Form: Direct</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24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 Following</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240" w:type="dxa"/>
            <w:vAlign w:val="bottom"/>
          </w:tcPr>
          <w:p>
            <w:pPr>
              <w:spacing w:after="0"/>
              <w:rPr>
                <w:sz w:val="11"/>
                <w:szCs w:val="11"/>
                <w:color w:val="auto"/>
              </w:rPr>
            </w:pPr>
          </w:p>
        </w:tc>
        <w:tc>
          <w:tcPr>
            <w:tcW w:w="11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0000FF"/>
              </w:rPr>
              <w:t>58,000</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44.9638</w:t>
            </w:r>
          </w:p>
        </w:tc>
        <w:tc>
          <w:tcPr>
            <w:tcW w:w="60" w:type="dxa"/>
            <w:vAlign w:val="bottom"/>
          </w:tcPr>
          <w:p>
            <w:pPr>
              <w:spacing w:after="0"/>
              <w:rPr>
                <w:sz w:val="22"/>
                <w:szCs w:val="22"/>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1,332,308</w:t>
            </w:r>
          </w:p>
        </w:tc>
        <w:tc>
          <w:tcPr>
            <w:tcW w:w="680" w:type="dxa"/>
            <w:vAlign w:val="bottom"/>
          </w:tcPr>
          <w:p>
            <w:pPr>
              <w:jc w:val="center"/>
              <w:ind w:left="206"/>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0000FF"/>
              </w:rPr>
              <w:t>27,559</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309.71</w:t>
            </w:r>
          </w:p>
        </w:tc>
        <w:tc>
          <w:tcPr>
            <w:tcW w:w="60" w:type="dxa"/>
            <w:vAlign w:val="bottom"/>
          </w:tcPr>
          <w:p>
            <w:pPr>
              <w:spacing w:after="0"/>
              <w:rPr>
                <w:sz w:val="22"/>
                <w:szCs w:val="22"/>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1,304,749</w:t>
            </w:r>
          </w:p>
        </w:tc>
        <w:tc>
          <w:tcPr>
            <w:tcW w:w="680" w:type="dxa"/>
            <w:vAlign w:val="bottom"/>
          </w:tcPr>
          <w:p>
            <w:pPr>
              <w:jc w:val="center"/>
              <w:ind w:left="206"/>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center"/>
              <w:ind w:left="145"/>
              <w:spacing w:after="0"/>
              <w:rPr>
                <w:sz w:val="20"/>
                <w:szCs w:val="20"/>
                <w:color w:val="auto"/>
              </w:rPr>
            </w:pPr>
            <w:r>
              <w:rPr>
                <w:rFonts w:ascii="Times New Roman" w:cs="Times New Roman" w:eastAsia="Times New Roman" w:hAnsi="Times New Roman"/>
                <w:sz w:val="17"/>
                <w:szCs w:val="17"/>
                <w:color w:val="0000FF"/>
                <w:w w:val="97"/>
              </w:rPr>
              <w:t>212,626</w:t>
            </w:r>
          </w:p>
        </w:tc>
        <w:tc>
          <w:tcPr>
            <w:tcW w:w="240" w:type="dxa"/>
            <w:vAlign w:val="bottom"/>
          </w:tcPr>
          <w:p>
            <w:pPr>
              <w:spacing w:after="0"/>
              <w:rPr>
                <w:sz w:val="22"/>
                <w:szCs w:val="22"/>
                <w:color w:val="auto"/>
              </w:rPr>
            </w:pPr>
          </w:p>
        </w:tc>
        <w:tc>
          <w:tcPr>
            <w:tcW w:w="680" w:type="dxa"/>
            <w:vAlign w:val="bottom"/>
          </w:tcPr>
          <w:p>
            <w:pPr>
              <w:jc w:val="center"/>
              <w:ind w:left="206"/>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w w:val="97"/>
              </w:rPr>
              <w:t>189,030</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Corporation</w:t>
            </w:r>
            <w:r>
              <w:rPr>
                <w:rFonts w:ascii="Times New Roman" w:cs="Times New Roman" w:eastAsia="Times New Roman" w:hAnsi="Times New Roman"/>
                <w:sz w:val="21"/>
                <w:szCs w:val="21"/>
                <w:color w:val="008000"/>
                <w:w w:val="97"/>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w w:val="97"/>
              </w:rPr>
              <w:t>172,515</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w w:val="99"/>
              </w:rPr>
              <w:t>4,762</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w w:val="98"/>
              </w:rPr>
              <w:t>19,136</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5"/>
              <w:spacing w:after="0"/>
              <w:rPr>
                <w:sz w:val="20"/>
                <w:szCs w:val="20"/>
                <w:color w:val="auto"/>
              </w:rPr>
            </w:pPr>
            <w:r>
              <w:rPr>
                <w:rFonts w:ascii="Times New Roman" w:cs="Times New Roman" w:eastAsia="Times New Roman" w:hAnsi="Times New Roman"/>
                <w:sz w:val="17"/>
                <w:szCs w:val="17"/>
                <w:color w:val="0000FF"/>
                <w:w w:val="98"/>
              </w:rPr>
              <w:t>93,235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5"/>
              <w:spacing w:after="0"/>
              <w:rPr>
                <w:sz w:val="20"/>
                <w:szCs w:val="20"/>
                <w:color w:val="auto"/>
              </w:rPr>
            </w:pPr>
            <w:r>
              <w:rPr>
                <w:rFonts w:ascii="Times New Roman" w:cs="Times New Roman" w:eastAsia="Times New Roman" w:hAnsi="Times New Roman"/>
                <w:sz w:val="17"/>
                <w:szCs w:val="17"/>
                <w:color w:val="0000FF"/>
                <w:w w:val="98"/>
              </w:rPr>
              <w:t>88,487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rPr>
              <w:t>921</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w w:val="98"/>
              </w:rPr>
              <w:t>16,133</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5"/>
              <w:spacing w:after="0"/>
              <w:rPr>
                <w:sz w:val="20"/>
                <w:szCs w:val="20"/>
                <w:color w:val="auto"/>
              </w:rPr>
            </w:pPr>
            <w:r>
              <w:rPr>
                <w:rFonts w:ascii="Times New Roman" w:cs="Times New Roman" w:eastAsia="Times New Roman" w:hAnsi="Times New Roman"/>
                <w:sz w:val="17"/>
                <w:szCs w:val="17"/>
                <w:color w:val="0000FF"/>
                <w:w w:val="97"/>
              </w:rPr>
              <w:t>570,852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5"/>
              <w:spacing w:after="0"/>
              <w:rPr>
                <w:sz w:val="20"/>
                <w:szCs w:val="20"/>
                <w:color w:val="auto"/>
              </w:rPr>
            </w:pPr>
            <w:r>
              <w:rPr>
                <w:rFonts w:ascii="Times New Roman" w:cs="Times New Roman" w:eastAsia="Times New Roman" w:hAnsi="Times New Roman"/>
                <w:sz w:val="17"/>
                <w:szCs w:val="17"/>
                <w:color w:val="0000FF"/>
                <w:w w:val="97"/>
              </w:rPr>
              <w:t>137,199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5"/>
              <w:spacing w:after="0"/>
              <w:rPr>
                <w:sz w:val="20"/>
                <w:szCs w:val="20"/>
                <w:color w:val="auto"/>
              </w:rPr>
            </w:pPr>
            <w:r>
              <w:rPr>
                <w:rFonts w:ascii="Times New Roman" w:cs="Times New Roman" w:eastAsia="Times New Roman" w:hAnsi="Times New Roman"/>
                <w:sz w:val="17"/>
                <w:szCs w:val="17"/>
                <w:color w:val="0000FF"/>
                <w:w w:val="98"/>
              </w:rPr>
              <w:t>28,819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5"/>
              <w:spacing w:after="0"/>
              <w:rPr>
                <w:sz w:val="20"/>
                <w:szCs w:val="20"/>
                <w:color w:val="auto"/>
              </w:rPr>
            </w:pPr>
            <w:r>
              <w:rPr>
                <w:rFonts w:ascii="Times New Roman" w:cs="Times New Roman" w:eastAsia="Times New Roman" w:hAnsi="Times New Roman"/>
                <w:sz w:val="17"/>
                <w:szCs w:val="17"/>
                <w:color w:val="0000FF"/>
                <w:w w:val="99"/>
              </w:rPr>
              <w:t>8,465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w w:val="99"/>
              </w:rPr>
              <w:t>4,072</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409A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85"/>
              </w:rPr>
              <w:t>Plan</w:t>
            </w:r>
            <w:r>
              <w:rPr>
                <w:rFonts w:ascii="Times New Roman" w:cs="Times New Roman" w:eastAsia="Times New Roman" w:hAnsi="Times New Roman"/>
                <w:sz w:val="21"/>
                <w:szCs w:val="21"/>
                <w:color w:val="008000"/>
                <w:w w:val="85"/>
                <w:vertAlign w:val="superscript"/>
              </w:rPr>
              <w:t>(6)</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vMerge w:val="continue"/>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5"/>
              <w:spacing w:after="0"/>
              <w:rPr>
                <w:sz w:val="20"/>
                <w:szCs w:val="20"/>
                <w:color w:val="auto"/>
              </w:rPr>
            </w:pPr>
            <w:r>
              <w:rPr>
                <w:rFonts w:ascii="Times New Roman" w:cs="Times New Roman" w:eastAsia="Times New Roman" w:hAnsi="Times New Roman"/>
                <w:sz w:val="17"/>
                <w:szCs w:val="17"/>
                <w:color w:val="0000FF"/>
              </w:rPr>
              <w:t>795</w:t>
            </w:r>
          </w:p>
        </w:tc>
        <w:tc>
          <w:tcPr>
            <w:tcW w:w="240" w:type="dxa"/>
            <w:vAlign w:val="bottom"/>
          </w:tcPr>
          <w:p>
            <w:pPr>
              <w:spacing w:after="0"/>
              <w:rPr>
                <w:sz w:val="21"/>
                <w:szCs w:val="21"/>
                <w:color w:val="auto"/>
              </w:rPr>
            </w:pPr>
          </w:p>
        </w:tc>
        <w:tc>
          <w:tcPr>
            <w:tcW w:w="680" w:type="dxa"/>
            <w:vAlign w:val="bottom"/>
            <w:vMerge w:val="restart"/>
          </w:tcPr>
          <w:p>
            <w:pPr>
              <w:jc w:val="center"/>
              <w:ind w:left="206"/>
              <w:spacing w:after="0"/>
              <w:rPr>
                <w:sz w:val="20"/>
                <w:szCs w:val="20"/>
                <w:color w:val="auto"/>
              </w:rPr>
            </w:pPr>
            <w:r>
              <w:rPr>
                <w:rFonts w:ascii="Times New Roman" w:cs="Times New Roman" w:eastAsia="Times New Roman" w:hAnsi="Times New Roman"/>
                <w:sz w:val="16"/>
                <w:szCs w:val="16"/>
                <w:color w:val="0000FF"/>
                <w:w w:val="74"/>
              </w:rPr>
              <w:t>I</w:t>
            </w:r>
          </w:p>
        </w:tc>
        <w:tc>
          <w:tcPr>
            <w:tcW w:w="240" w:type="dxa"/>
            <w:vAlign w:val="bottom"/>
          </w:tcPr>
          <w:p>
            <w:pPr>
              <w:spacing w:after="0"/>
              <w:rPr>
                <w:sz w:val="21"/>
                <w:szCs w:val="21"/>
                <w:color w:val="auto"/>
              </w:rPr>
            </w:pPr>
          </w:p>
        </w:tc>
        <w:tc>
          <w:tcPr>
            <w:tcW w:w="11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By 409A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85"/>
              </w:rPr>
              <w:t>Plan</w:t>
            </w:r>
            <w:r>
              <w:rPr>
                <w:rFonts w:ascii="Times New Roman" w:cs="Times New Roman" w:eastAsia="Times New Roman" w:hAnsi="Times New Roman"/>
                <w:sz w:val="21"/>
                <w:szCs w:val="21"/>
                <w:color w:val="008000"/>
                <w:w w:val="85"/>
                <w:vertAlign w:val="superscript"/>
              </w:rPr>
              <w:t>(6)</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vMerge w:val="continue"/>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0"/>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50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Securities</w:t>
            </w:r>
          </w:p>
        </w:tc>
        <w:tc>
          <w:tcPr>
            <w:tcW w:w="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3"/>
          </w:tcPr>
          <w:p>
            <w:pPr>
              <w:ind w:left="120"/>
              <w:spacing w:after="0"/>
              <w:rPr>
                <w:sz w:val="20"/>
                <w:szCs w:val="20"/>
                <w:color w:val="auto"/>
              </w:rPr>
            </w:pPr>
            <w:r>
              <w:rPr>
                <w:rFonts w:ascii="Arial" w:cs="Arial" w:eastAsia="Arial" w:hAnsi="Arial"/>
                <w:sz w:val="11"/>
                <w:szCs w:val="11"/>
                <w:b w:val="1"/>
                <w:bCs w:val="1"/>
                <w:color w:val="auto"/>
              </w:rPr>
              <w:t>Underlying</w:t>
            </w:r>
          </w:p>
        </w:tc>
        <w:tc>
          <w:tcPr>
            <w:tcW w:w="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3"/>
          </w:tcPr>
          <w:p>
            <w:pPr>
              <w:ind w:left="1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180"/>
              <w:spacing w:after="0"/>
              <w:rPr>
                <w:sz w:val="20"/>
                <w:szCs w:val="20"/>
                <w:color w:val="auto"/>
              </w:rPr>
            </w:pPr>
            <w:r>
              <w:rPr>
                <w:rFonts w:ascii="Arial" w:cs="Arial" w:eastAsia="Arial" w:hAnsi="Arial"/>
                <w:sz w:val="11"/>
                <w:szCs w:val="11"/>
                <w:b w:val="1"/>
                <w:bCs w:val="1"/>
                <w:color w:val="auto"/>
              </w:rPr>
              <w:t>Expiration</w:t>
            </w:r>
          </w:p>
        </w:tc>
        <w:tc>
          <w:tcPr>
            <w:tcW w:w="420" w:type="dxa"/>
            <w:vAlign w:val="bottom"/>
          </w:tcPr>
          <w:p>
            <w:pPr>
              <w:spacing w:after="0"/>
              <w:rPr>
                <w:sz w:val="11"/>
                <w:szCs w:val="11"/>
                <w:color w:val="auto"/>
              </w:rPr>
            </w:pPr>
          </w:p>
        </w:tc>
        <w:tc>
          <w:tcPr>
            <w:tcW w:w="840" w:type="dxa"/>
            <w:vAlign w:val="bottom"/>
            <w:gridSpan w:val="2"/>
          </w:tcPr>
          <w:p>
            <w:pPr>
              <w:ind w:left="30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30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-1554480</wp:posOffset>
            </wp:positionV>
            <wp:extent cx="28575" cy="163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639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4705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4705350"/>
                    </a:xfrm>
                    <a:prstGeom prst="rect">
                      <a:avLst/>
                    </a:prstGeom>
                    <a:noFill/>
                  </pic:spPr>
                </pic:pic>
              </a:graphicData>
            </a:graphic>
          </wp:anchor>
        </w:drawing>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58,000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44.9638</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10/26/2026</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58,000</w:t>
            </w: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03/17/2027</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57,313</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70.656</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03/16/2028</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09/24/2031</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163.35</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03/17/2033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163.61</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06/09/2033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24"/>
              <w:spacing w:after="0"/>
              <w:rPr>
                <w:sz w:val="20"/>
                <w:szCs w:val="20"/>
                <w:color w:val="auto"/>
              </w:rPr>
            </w:pPr>
            <w:r>
              <w:rPr>
                <w:rFonts w:ascii="Times New Roman" w:cs="Times New Roman" w:eastAsia="Times New Roman" w:hAnsi="Times New Roman"/>
                <w:sz w:val="13"/>
                <w:szCs w:val="13"/>
                <w:color w:val="0000FF"/>
                <w:w w:val="92"/>
              </w:rPr>
              <w:t>05/27/2026</w:t>
            </w:r>
            <w:r>
              <w:rPr>
                <w:rFonts w:ascii="Times New Roman" w:cs="Times New Roman" w:eastAsia="Times New Roman" w:hAnsi="Times New Roman"/>
                <w:sz w:val="21"/>
                <w:szCs w:val="21"/>
                <w:color w:val="008000"/>
                <w:w w:val="92"/>
                <w:vertAlign w:val="superscript"/>
              </w:rPr>
              <w:t>(8)</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256.01</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03/14/2035</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Mendelson International Corporation whose stock is owned solely by the Reporting Person and Eric Mendelson, the brother of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VHM Management Limited Partners, a partnership whose sole general partner is a corporation controlled by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benefit of the Reporting Person by the HEICO Corporation 401(k) plan, based on a plan statement dated October 27, 2026.</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gifted by the Reporting Person to trusts for the benefit of the Reporting Person's immediate family members and whose Trustee is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the Victor H. Mendelson Revocable Investment Trust which is owned solely by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reporting person by the HEICO Corporation Leadership Compensation Plan (409A Plan).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become exercisable 20% per year over five years from the date of grant.</w:t>
      </w:r>
    </w:p>
    <w:p>
      <w:pPr>
        <w:spacing w:after="0" w:line="41" w:lineRule="exact"/>
        <w:rPr>
          <w:rFonts w:ascii="Times New Roman" w:cs="Times New Roman" w:eastAsia="Times New Roman" w:hAnsi="Times New Roman"/>
          <w:sz w:val="13"/>
          <w:szCs w:val="13"/>
          <w:color w:val="008000"/>
        </w:rPr>
      </w:pPr>
    </w:p>
    <w:p>
      <w:pPr>
        <w:ind w:left="20" w:right="18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tranche (20%) of performance-based stock options originally granted on March 14, 2025. Vesting occurred upon certification by the Compensation Committee on May 27, 2026 that the applicable performance conditions for the first measurement interval were achieved.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Victor H. Mendelson</w:t>
            </w:r>
          </w:p>
        </w:tc>
        <w:tc>
          <w:tcPr>
            <w:tcW w:w="6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10/28/2026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31"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31082" TargetMode="External"/><Relationship Id="rId14"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2026-10-28T16:33:12Z</dcterms:created>
  <dcterms:modified xsi:type="dcterms:W3CDTF">2026-10-28T16:33:12Z</dcterms:modified>
</cp:coreProperties>
</file>