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MENDELSON ERIC A</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825 BRICKELL BAY DRIVE, SUITE 1644</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HEICO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HEI, HEI.A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10/26/2026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1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6"/>
          <w:szCs w:val="16"/>
          <w:color w:val="0000FF"/>
        </w:rPr>
        <w:t xml:space="preserve">Co-COB and Co-CEO </w:t>
      </w:r>
      <w:r>
        <w:rPr>
          <w:rFonts w:ascii="Times New Roman" w:cs="Times New Roman" w:eastAsia="Times New Roman" w:hAnsi="Times New Roman"/>
          <w:sz w:val="19"/>
          <w:szCs w:val="19"/>
          <w:color w:val="000000"/>
        </w:rPr>
        <w:t>/</w:t>
      </w:r>
      <w:r>
        <w:rPr>
          <w:rFonts w:ascii="Times New Roman" w:cs="Times New Roman" w:eastAsia="Times New Roman" w:hAnsi="Times New Roman"/>
          <w:sz w:val="16"/>
          <w:szCs w:val="16"/>
          <w:color w:val="0000FF"/>
        </w:rPr>
        <w:t xml:space="preserve"> Member of 10%</w:t>
      </w:r>
    </w:p>
    <w:p>
      <w:pPr>
        <w:spacing w:after="0" w:line="41"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owner group</w:t>
      </w:r>
    </w:p>
    <w:p>
      <w:pPr>
        <w:spacing w:after="0" w:line="146"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14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680" w:type="dxa"/>
            <w:vAlign w:val="bottom"/>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220" w:type="dxa"/>
            <w:vAlign w:val="bottom"/>
          </w:tcPr>
          <w:p>
            <w:pPr>
              <w:ind w:left="300"/>
              <w:spacing w:after="0"/>
              <w:rPr>
                <w:sz w:val="20"/>
                <w:szCs w:val="20"/>
                <w:color w:val="auto"/>
              </w:rPr>
            </w:pPr>
            <w:r>
              <w:rPr>
                <w:rFonts w:ascii="Arial" w:cs="Arial" w:eastAsia="Arial" w:hAnsi="Arial"/>
                <w:sz w:val="13"/>
                <w:szCs w:val="13"/>
                <w:color w:val="auto"/>
                <w:w w:val="97"/>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FL</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33131</w:t>
            </w:r>
          </w:p>
        </w:tc>
        <w:tc>
          <w:tcPr>
            <w:tcW w:w="3680" w:type="dxa"/>
            <w:vAlign w:val="bottom"/>
          </w:tcPr>
          <w:p>
            <w:pPr>
              <w:spacing w:after="0"/>
              <w:rPr>
                <w:sz w:val="14"/>
                <w:szCs w:val="14"/>
                <w:color w:val="auto"/>
              </w:rPr>
            </w:pPr>
          </w:p>
        </w:tc>
        <w:tc>
          <w:tcPr>
            <w:tcW w:w="3220" w:type="dxa"/>
            <w:vAlign w:val="bottom"/>
          </w:tcPr>
          <w:p>
            <w:pPr>
              <w:ind w:left="30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3680" w:type="dxa"/>
            <w:vAlign w:val="bottom"/>
          </w:tcPr>
          <w:p>
            <w:pPr>
              <w:spacing w:after="0"/>
              <w:rPr>
                <w:sz w:val="7"/>
                <w:szCs w:val="7"/>
                <w:color w:val="auto"/>
              </w:rPr>
            </w:pPr>
          </w:p>
        </w:tc>
        <w:tc>
          <w:tcPr>
            <w:tcW w:w="3220" w:type="dxa"/>
            <w:vAlign w:val="bottom"/>
            <w:vMerge w:val="restart"/>
          </w:tcPr>
          <w:p>
            <w:pPr>
              <w:ind w:left="8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8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tcPr>
          <w:p>
            <w:pPr>
              <w:spacing w:after="0"/>
              <w:rPr>
                <w:sz w:val="2"/>
                <w:szCs w:val="2"/>
                <w:color w:val="auto"/>
              </w:rPr>
            </w:pPr>
          </w:p>
        </w:tc>
        <w:tc>
          <w:tcPr>
            <w:tcW w:w="1620" w:type="dxa"/>
            <w:vAlign w:val="bottom"/>
            <w:tcBorders>
              <w:bottom w:val="single" w:sz="8" w:color="9A9A9A"/>
            </w:tcBorders>
          </w:tcPr>
          <w:p>
            <w:pPr>
              <w:spacing w:after="0"/>
              <w:rPr>
                <w:sz w:val="2"/>
                <w:szCs w:val="2"/>
                <w:color w:val="auto"/>
              </w:rPr>
            </w:pPr>
          </w:p>
        </w:tc>
        <w:tc>
          <w:tcPr>
            <w:tcW w:w="3680" w:type="dxa"/>
            <w:vAlign w:val="bottom"/>
          </w:tcPr>
          <w:p>
            <w:pPr>
              <w:spacing w:after="0"/>
              <w:rPr>
                <w:sz w:val="2"/>
                <w:szCs w:val="2"/>
                <w:color w:val="auto"/>
              </w:rPr>
            </w:pPr>
          </w:p>
        </w:tc>
        <w:tc>
          <w:tcPr>
            <w:tcW w:w="3220" w:type="dxa"/>
            <w:vAlign w:val="bottom"/>
            <w:vMerge w:val="restart"/>
          </w:tcPr>
          <w:p>
            <w:pPr>
              <w:ind w:left="8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(State)</w:t>
            </w:r>
          </w:p>
        </w:tc>
        <w:tc>
          <w:tcPr>
            <w:tcW w:w="5300" w:type="dxa"/>
            <w:vAlign w:val="bottom"/>
            <w:gridSpan w:val="2"/>
            <w:vMerge w:val="restart"/>
          </w:tcPr>
          <w:p>
            <w:pPr>
              <w:ind w:left="420"/>
              <w:spacing w:after="0"/>
              <w:rPr>
                <w:sz w:val="20"/>
                <w:szCs w:val="20"/>
                <w:color w:val="auto"/>
              </w:rPr>
            </w:pPr>
            <w:r>
              <w:rPr>
                <w:rFonts w:ascii="Arial" w:cs="Arial" w:eastAsia="Arial" w:hAnsi="Arial"/>
                <w:sz w:val="13"/>
                <w:szCs w:val="13"/>
                <w:color w:val="auto"/>
              </w:rPr>
              <w:t>(Zip)</w:t>
            </w:r>
          </w:p>
        </w:tc>
        <w:tc>
          <w:tcPr>
            <w:tcW w:w="3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3220" w:type="dxa"/>
            <w:vAlign w:val="bottom"/>
          </w:tcPr>
          <w:p>
            <w:pPr>
              <w:ind w:left="8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spacing w:after="0" w:line="16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6. Ownership</w:t>
            </w: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0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Form: Direct</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200" w:type="dxa"/>
            <w:vAlign w:val="bottom"/>
          </w:tcPr>
          <w:p>
            <w:pPr>
              <w:spacing w:after="0"/>
              <w:rPr>
                <w:sz w:val="11"/>
                <w:szCs w:val="11"/>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(D) or Indirect</w:t>
            </w: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 Following</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w w:val="98"/>
              </w:rPr>
              <w:t>(I) (Instr. 4)</w:t>
            </w:r>
          </w:p>
        </w:tc>
        <w:tc>
          <w:tcPr>
            <w:tcW w:w="220" w:type="dxa"/>
            <w:vAlign w:val="bottom"/>
          </w:tcPr>
          <w:p>
            <w:pPr>
              <w:spacing w:after="0"/>
              <w:rPr>
                <w:sz w:val="11"/>
                <w:szCs w:val="11"/>
                <w:color w:val="auto"/>
              </w:rPr>
            </w:pPr>
          </w:p>
        </w:tc>
        <w:tc>
          <w:tcPr>
            <w:tcW w:w="1200" w:type="dxa"/>
            <w:vAlign w:val="bottom"/>
            <w:gridSpan w:val="5"/>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Reported</w:t>
            </w: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gridSpan w:val="5"/>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8"/>
                <w:szCs w:val="8"/>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(Instr. 3 and 4)</w:t>
            </w: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58,000</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44.9638</w:t>
            </w:r>
          </w:p>
        </w:tc>
        <w:tc>
          <w:tcPr>
            <w:tcW w:w="60" w:type="dxa"/>
            <w:vAlign w:val="bottom"/>
          </w:tcPr>
          <w:p>
            <w:pPr>
              <w:spacing w:after="0"/>
              <w:rPr>
                <w:sz w:val="22"/>
                <w:szCs w:val="22"/>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1,324,407</w:t>
            </w:r>
          </w:p>
        </w:tc>
        <w:tc>
          <w:tcPr>
            <w:tcW w:w="720" w:type="dxa"/>
            <w:vAlign w:val="bottom"/>
          </w:tcPr>
          <w:p>
            <w:pPr>
              <w:jc w:val="center"/>
              <w:ind w:left="24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10/26/2026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8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27,640</w:t>
            </w:r>
          </w:p>
        </w:tc>
        <w:tc>
          <w:tcPr>
            <w:tcW w:w="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ind w:right="18"/>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309.71</w:t>
            </w:r>
          </w:p>
        </w:tc>
        <w:tc>
          <w:tcPr>
            <w:tcW w:w="60" w:type="dxa"/>
            <w:vAlign w:val="bottom"/>
          </w:tcPr>
          <w:p>
            <w:pPr>
              <w:spacing w:after="0"/>
              <w:rPr>
                <w:sz w:val="22"/>
                <w:szCs w:val="22"/>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1,296,767</w:t>
            </w:r>
          </w:p>
        </w:tc>
        <w:tc>
          <w:tcPr>
            <w:tcW w:w="720" w:type="dxa"/>
            <w:vAlign w:val="bottom"/>
          </w:tcPr>
          <w:p>
            <w:pPr>
              <w:jc w:val="center"/>
              <w:ind w:left="24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2"/>
              </w:rPr>
              <w:t>151,239</w:t>
            </w:r>
            <w:r>
              <w:rPr>
                <w:rFonts w:ascii="Times New Roman" w:cs="Times New Roman" w:eastAsia="Times New Roman" w:hAnsi="Times New Roman"/>
                <w:sz w:val="21"/>
                <w:szCs w:val="21"/>
                <w:color w:val="008000"/>
                <w:w w:val="92"/>
                <w:vertAlign w:val="superscript"/>
              </w:rPr>
              <w:t>(1)</w:t>
            </w:r>
          </w:p>
        </w:tc>
        <w:tc>
          <w:tcPr>
            <w:tcW w:w="720" w:type="dxa"/>
            <w:vAlign w:val="bottom"/>
            <w:tcBorders>
              <w:bottom w:val="single" w:sz="8" w:color="2C2C2C"/>
            </w:tcBorders>
          </w:tcPr>
          <w:p>
            <w:pPr>
              <w:jc w:val="center"/>
              <w:ind w:left="24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8"/>
              </w:rPr>
              <w:t>15,227</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8"/>
              </w:rPr>
              <w:t>10,078</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Keogh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Account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7"/>
              <w:spacing w:after="0"/>
              <w:rPr>
                <w:sz w:val="20"/>
                <w:szCs w:val="20"/>
                <w:color w:val="auto"/>
              </w:rPr>
            </w:pPr>
            <w:r>
              <w:rPr>
                <w:rFonts w:ascii="Times New Roman" w:cs="Times New Roman" w:eastAsia="Times New Roman" w:hAnsi="Times New Roman"/>
                <w:sz w:val="17"/>
                <w:szCs w:val="17"/>
                <w:color w:val="0000FF"/>
                <w:w w:val="97"/>
              </w:rPr>
              <w:t>427,326</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Trusts</w:t>
            </w:r>
            <w:r>
              <w:rPr>
                <w:rFonts w:ascii="Times New Roman" w:cs="Times New Roman" w:eastAsia="Times New Roman" w:hAnsi="Times New Roman"/>
                <w:sz w:val="21"/>
                <w:szCs w:val="21"/>
                <w:color w:val="008000"/>
                <w:vertAlign w:val="superscript"/>
              </w:rPr>
              <w:t>(2)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7"/>
              </w:rPr>
              <w:t>189,030</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7"/>
              </w:rPr>
              <w:t>Corporation</w:t>
            </w:r>
            <w:r>
              <w:rPr>
                <w:rFonts w:ascii="Times New Roman" w:cs="Times New Roman" w:eastAsia="Times New Roman" w:hAnsi="Times New Roman"/>
                <w:sz w:val="21"/>
                <w:szCs w:val="21"/>
                <w:color w:val="008000"/>
                <w:w w:val="97"/>
                <w:vertAlign w:val="superscript"/>
              </w:rPr>
              <w:t>(3)</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7"/>
              </w:rPr>
              <w:t>392,718</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Owned 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1"/>
                <w:szCs w:val="21"/>
                <w:color w:val="008000"/>
                <w:vertAlign w:val="superscript"/>
              </w:rPr>
              <w:t>(4)</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9"/>
              </w:rPr>
              <w:t>4,522</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9"/>
              </w:rPr>
              <w:t>5,204</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As custodian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for children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7"/>
              <w:spacing w:after="0"/>
              <w:rPr>
                <w:sz w:val="20"/>
                <w:szCs w:val="20"/>
                <w:color w:val="auto"/>
              </w:rPr>
            </w:pPr>
            <w:r>
              <w:rPr>
                <w:rFonts w:ascii="Times New Roman" w:cs="Times New Roman" w:eastAsia="Times New Roman" w:hAnsi="Times New Roman"/>
                <w:sz w:val="17"/>
                <w:szCs w:val="17"/>
                <w:color w:val="0000FF"/>
                <w:w w:val="97"/>
              </w:rPr>
              <w:t>112,558</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center"/>
              <w:ind w:left="147"/>
              <w:spacing w:after="0"/>
              <w:rPr>
                <w:sz w:val="20"/>
                <w:szCs w:val="20"/>
                <w:color w:val="auto"/>
              </w:rPr>
            </w:pPr>
            <w:r>
              <w:rPr>
                <w:rFonts w:ascii="Times New Roman" w:cs="Times New Roman" w:eastAsia="Times New Roman" w:hAnsi="Times New Roman"/>
                <w:sz w:val="17"/>
                <w:szCs w:val="17"/>
                <w:color w:val="0000FF"/>
                <w:w w:val="97"/>
              </w:rPr>
              <w:t>107,303</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By 401(k)</w:t>
            </w:r>
            <w:r>
              <w:rPr>
                <w:rFonts w:ascii="Times New Roman" w:cs="Times New Roman" w:eastAsia="Times New Roman" w:hAnsi="Times New Roman"/>
                <w:sz w:val="21"/>
                <w:szCs w:val="21"/>
                <w:color w:val="008000"/>
                <w:vertAlign w:val="superscript"/>
              </w:rPr>
              <w:t>(5)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9"/>
              </w:rPr>
              <w:t>6,302</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409A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w w:val="85"/>
              </w:rPr>
              <w:t>Plan</w:t>
            </w:r>
            <w:r>
              <w:rPr>
                <w:rFonts w:ascii="Times New Roman" w:cs="Times New Roman" w:eastAsia="Times New Roman" w:hAnsi="Times New Roman"/>
                <w:sz w:val="21"/>
                <w:szCs w:val="21"/>
                <w:color w:val="008000"/>
                <w:w w:val="85"/>
                <w:vertAlign w:val="superscript"/>
              </w:rPr>
              <w:t>(6)</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vMerge w:val="continue"/>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jc w:val="center"/>
              <w:ind w:left="147"/>
              <w:spacing w:after="0"/>
              <w:rPr>
                <w:sz w:val="20"/>
                <w:szCs w:val="20"/>
                <w:color w:val="auto"/>
              </w:rPr>
            </w:pPr>
            <w:r>
              <w:rPr>
                <w:rFonts w:ascii="Times New Roman" w:cs="Times New Roman" w:eastAsia="Times New Roman" w:hAnsi="Times New Roman"/>
                <w:sz w:val="17"/>
                <w:szCs w:val="17"/>
                <w:color w:val="0000FF"/>
                <w:w w:val="99"/>
              </w:rPr>
              <w:t>7,694</w:t>
            </w:r>
          </w:p>
        </w:tc>
        <w:tc>
          <w:tcPr>
            <w:tcW w:w="200" w:type="dxa"/>
            <w:vAlign w:val="bottom"/>
          </w:tcPr>
          <w:p>
            <w:pPr>
              <w:spacing w:after="0"/>
              <w:rPr>
                <w:sz w:val="21"/>
                <w:szCs w:val="21"/>
                <w:color w:val="auto"/>
              </w:rPr>
            </w:pPr>
          </w:p>
        </w:tc>
        <w:tc>
          <w:tcPr>
            <w:tcW w:w="720" w:type="dxa"/>
            <w:vAlign w:val="bottom"/>
            <w:vMerge w:val="restart"/>
          </w:tcPr>
          <w:p>
            <w:pPr>
              <w:jc w:val="center"/>
              <w:ind w:left="247"/>
              <w:spacing w:after="0"/>
              <w:rPr>
                <w:sz w:val="20"/>
                <w:szCs w:val="20"/>
                <w:color w:val="auto"/>
              </w:rPr>
            </w:pPr>
            <w:r>
              <w:rPr>
                <w:rFonts w:ascii="Times New Roman" w:cs="Times New Roman" w:eastAsia="Times New Roman" w:hAnsi="Times New Roman"/>
                <w:sz w:val="16"/>
                <w:szCs w:val="16"/>
                <w:color w:val="0000FF"/>
                <w:w w:val="74"/>
              </w:rPr>
              <w:t>I</w:t>
            </w:r>
          </w:p>
        </w:tc>
        <w:tc>
          <w:tcPr>
            <w:tcW w:w="220" w:type="dxa"/>
            <w:vAlign w:val="bottom"/>
          </w:tcPr>
          <w:p>
            <w:pPr>
              <w:spacing w:after="0"/>
              <w:rPr>
                <w:sz w:val="21"/>
                <w:szCs w:val="21"/>
                <w:color w:val="auto"/>
              </w:rPr>
            </w:pPr>
          </w:p>
        </w:tc>
        <w:tc>
          <w:tcPr>
            <w:tcW w:w="120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0000FF"/>
              </w:rPr>
              <w:t>By 409A</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w w:val="85"/>
              </w:rPr>
              <w:t>Plan</w:t>
            </w:r>
            <w:r>
              <w:rPr>
                <w:rFonts w:ascii="Times New Roman" w:cs="Times New Roman" w:eastAsia="Times New Roman" w:hAnsi="Times New Roman"/>
                <w:sz w:val="21"/>
                <w:szCs w:val="21"/>
                <w:color w:val="008000"/>
                <w:w w:val="85"/>
                <w:vertAlign w:val="superscript"/>
              </w:rPr>
              <w:t>(6)</w:t>
            </w: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vMerge w:val="continue"/>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0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1"/>
          </w:tcPr>
          <w:p>
            <w:pPr>
              <w:ind w:left="7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8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520" w:type="dxa"/>
            <w:vAlign w:val="bottom"/>
          </w:tcPr>
          <w:p>
            <w:pPr>
              <w:spacing w:after="0"/>
              <w:rPr>
                <w:sz w:val="14"/>
                <w:szCs w:val="14"/>
                <w:color w:val="auto"/>
              </w:rPr>
            </w:pP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Ownership</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Direct (D)</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Indirect</w:t>
            </w:r>
          </w:p>
        </w:tc>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(7)</w:t>
            </w:r>
          </w:p>
        </w:tc>
        <w:tc>
          <w:tcPr>
            <w:tcW w:w="800" w:type="dxa"/>
            <w:vAlign w:val="bottom"/>
          </w:tcPr>
          <w:p>
            <w:pPr>
              <w:spacing w:after="0"/>
              <w:rPr>
                <w:sz w:val="12"/>
                <w:szCs w:val="12"/>
                <w:color w:val="auto"/>
              </w:rPr>
            </w:pPr>
          </w:p>
        </w:tc>
        <w:tc>
          <w:tcPr>
            <w:tcW w:w="7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w w:val="98"/>
              </w:rPr>
              <w:t>58,000</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44.9638</w:t>
            </w:r>
          </w:p>
        </w:tc>
        <w:tc>
          <w:tcPr>
            <w:tcW w:w="1060" w:type="dxa"/>
            <w:vAlign w:val="bottom"/>
            <w:vMerge w:val="restart"/>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10/26/2026</w:t>
            </w:r>
          </w:p>
        </w:tc>
        <w:tc>
          <w:tcPr>
            <w:tcW w:w="1080" w:type="dxa"/>
            <w:vAlign w:val="bottom"/>
          </w:tcPr>
          <w:p>
            <w:pPr>
              <w:spacing w:after="0"/>
              <w:rPr>
                <w:sz w:val="5"/>
                <w:szCs w:val="5"/>
                <w:color w:val="auto"/>
              </w:rPr>
            </w:pPr>
          </w:p>
        </w:tc>
        <w:tc>
          <w:tcPr>
            <w:tcW w:w="420" w:type="dxa"/>
            <w:vAlign w:val="bottom"/>
            <w:vMerge w:val="restart"/>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gridSpan w:val="2"/>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58,000</w:t>
            </w:r>
          </w:p>
        </w:tc>
        <w:tc>
          <w:tcPr>
            <w:tcW w:w="760" w:type="dxa"/>
            <w:vAlign w:val="bottom"/>
            <w:vMerge w:val="continue"/>
          </w:tcPr>
          <w:p>
            <w:pPr>
              <w:spacing w:after="0"/>
              <w:rPr>
                <w:sz w:val="5"/>
                <w:szCs w:val="5"/>
                <w:color w:val="auto"/>
              </w:rPr>
            </w:pPr>
          </w:p>
        </w:tc>
        <w:tc>
          <w:tcPr>
            <w:tcW w:w="800" w:type="dxa"/>
            <w:vAlign w:val="bottom"/>
            <w:vMerge w:val="restart"/>
          </w:tcPr>
          <w:p>
            <w:pPr>
              <w:ind w:left="180"/>
              <w:spacing w:after="0" w:line="140" w:lineRule="exact"/>
              <w:rPr>
                <w:sz w:val="20"/>
                <w:szCs w:val="20"/>
                <w:color w:val="auto"/>
              </w:rPr>
            </w:pPr>
            <w:r>
              <w:rPr>
                <w:rFonts w:ascii="Times New Roman" w:cs="Times New Roman" w:eastAsia="Times New Roman" w:hAnsi="Times New Roman"/>
                <w:sz w:val="13"/>
                <w:szCs w:val="13"/>
                <w:color w:val="0000FF"/>
              </w:rPr>
              <w:t>03/17/2027</w:t>
            </w:r>
          </w:p>
        </w:tc>
        <w:tc>
          <w:tcPr>
            <w:tcW w:w="700" w:type="dxa"/>
            <w:vAlign w:val="bottom"/>
            <w:gridSpan w:val="2"/>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8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200" w:type="dxa"/>
            <w:vAlign w:val="bottom"/>
          </w:tcPr>
          <w:p>
            <w:pPr>
              <w:spacing w:after="0"/>
              <w:rPr>
                <w:sz w:val="5"/>
                <w:szCs w:val="5"/>
                <w:color w:val="auto"/>
              </w:rPr>
            </w:pPr>
          </w:p>
        </w:tc>
        <w:tc>
          <w:tcPr>
            <w:tcW w:w="72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57,313</w:t>
            </w:r>
          </w:p>
        </w:tc>
        <w:tc>
          <w:tcPr>
            <w:tcW w:w="220" w:type="dxa"/>
            <w:vAlign w:val="bottom"/>
          </w:tcPr>
          <w:p>
            <w:pPr>
              <w:spacing w:after="0"/>
              <w:rPr>
                <w:sz w:val="5"/>
                <w:szCs w:val="5"/>
                <w:color w:val="auto"/>
              </w:rPr>
            </w:pPr>
          </w:p>
        </w:tc>
        <w:tc>
          <w:tcPr>
            <w:tcW w:w="52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87"/>
              </w:rPr>
              <w:t>Stock</w:t>
            </w:r>
          </w:p>
        </w:tc>
        <w:tc>
          <w:tcPr>
            <w:tcW w:w="220" w:type="dxa"/>
            <w:vAlign w:val="bottom"/>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ectPr>
          <w:pgSz w:w="11900" w:h="16838" w:orient="portrait"/>
          <w:cols w:equalWidth="0" w:num="1">
            <w:col w:w="11080"/>
          </w:cols>
          <w:pgMar w:left="460" w:top="216"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4180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4180205"/>
                    </a:xfrm>
                    <a:prstGeom prst="rect">
                      <a:avLst/>
                    </a:prstGeom>
                    <a:noFill/>
                  </pic:spPr>
                </pic:pic>
              </a:graphicData>
            </a:graphic>
          </wp:anchor>
        </w:drawing>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70.656</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03/16/2028</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ind w:right="9"/>
              <w:spacing w:after="0"/>
              <w:rPr>
                <w:sz w:val="20"/>
                <w:szCs w:val="20"/>
                <w:color w:val="auto"/>
              </w:rPr>
            </w:pPr>
            <w:r>
              <w:rPr>
                <w:rFonts w:ascii="Times New Roman" w:cs="Times New Roman" w:eastAsia="Times New Roman" w:hAnsi="Times New Roman"/>
                <w:sz w:val="17"/>
                <w:szCs w:val="17"/>
                <w:color w:val="0000FF"/>
                <w:w w:val="97"/>
              </w:rPr>
              <w:t>125,000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134.7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4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09/24/2031</w:t>
            </w: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4"/>
              </w:rPr>
              <w:t>125,000</w:t>
            </w:r>
          </w:p>
        </w:tc>
        <w:tc>
          <w:tcPr>
            <w:tcW w:w="72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ind w:left="18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163.35</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03/17/2033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62,500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163.61</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06/09/2033</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62,500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vMerge w:val="restart"/>
          </w:tcPr>
          <w:p>
            <w:pPr>
              <w:jc w:val="center"/>
              <w:ind w:right="24"/>
              <w:spacing w:after="0"/>
              <w:rPr>
                <w:sz w:val="20"/>
                <w:szCs w:val="20"/>
                <w:color w:val="auto"/>
              </w:rPr>
            </w:pPr>
            <w:r>
              <w:rPr>
                <w:rFonts w:ascii="Times New Roman" w:cs="Times New Roman" w:eastAsia="Times New Roman" w:hAnsi="Times New Roman"/>
                <w:sz w:val="13"/>
                <w:szCs w:val="13"/>
                <w:color w:val="0000FF"/>
                <w:w w:val="92"/>
              </w:rPr>
              <w:t>05/27/2026</w:t>
            </w:r>
            <w:r>
              <w:rPr>
                <w:rFonts w:ascii="Times New Roman" w:cs="Times New Roman" w:eastAsia="Times New Roman" w:hAnsi="Times New Roman"/>
                <w:sz w:val="21"/>
                <w:szCs w:val="21"/>
                <w:color w:val="008000"/>
                <w:w w:val="92"/>
                <w:vertAlign w:val="superscript"/>
              </w:rPr>
              <w:t>(8)</w:t>
            </w: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10,000</w:t>
            </w: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256.01</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4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03/14/2035</w:t>
            </w:r>
          </w:p>
        </w:tc>
        <w:tc>
          <w:tcPr>
            <w:tcW w:w="6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jc w:val="center"/>
              <w:spacing w:after="0" w:line="140" w:lineRule="exact"/>
              <w:rPr>
                <w:sz w:val="20"/>
                <w:szCs w:val="20"/>
                <w:color w:val="auto"/>
              </w:rPr>
            </w:pPr>
            <w:r>
              <w:rPr>
                <w:rFonts w:ascii="Times New Roman" w:cs="Times New Roman" w:eastAsia="Times New Roman" w:hAnsi="Times New Roman"/>
                <w:sz w:val="13"/>
                <w:szCs w:val="13"/>
                <w:color w:val="0000FF"/>
              </w:rPr>
              <w:t>10,000</w:t>
            </w:r>
          </w:p>
        </w:tc>
        <w:tc>
          <w:tcPr>
            <w:tcW w:w="72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9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2,348 shares previously held by the 409A Plan which were distributed to the reporting person and are now owned directly.</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gifted by the Reporting Person to trusts for the benefit of the Reporting Person's immediate family members and whose Trustee is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Mendelson International Corporation whose stock is owned solely by the Reporting Person and Victor Mendelson, the brother of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EAM Management Limited Partners, a partnership whose sole general partner is a corporation controlled by the Reporting Person.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benefit of the Reporting Person by the HEICO Corporation 401(k) plan, based on a plan statement dated October 27, 2026.</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for the Reporting Person by the HEICO Leadership Compensation Plan (409A Plan).</w:t>
      </w:r>
    </w:p>
    <w:p>
      <w:pPr>
        <w:spacing w:after="0" w:line="41" w:lineRule="exact"/>
        <w:rPr>
          <w:rFonts w:ascii="Times New Roman" w:cs="Times New Roman" w:eastAsia="Times New Roman" w:hAnsi="Times New Roman"/>
          <w:sz w:val="13"/>
          <w:szCs w:val="13"/>
          <w:color w:val="008000"/>
        </w:rPr>
      </w:pPr>
    </w:p>
    <w:p>
      <w:pPr>
        <w:ind w:left="140" w:hanging="120"/>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options are exercisable at 20% per year over five years from the date of grant.</w:t>
      </w:r>
    </w:p>
    <w:p>
      <w:pPr>
        <w:spacing w:after="0" w:line="41" w:lineRule="exact"/>
        <w:rPr>
          <w:rFonts w:ascii="Times New Roman" w:cs="Times New Roman" w:eastAsia="Times New Roman" w:hAnsi="Times New Roman"/>
          <w:sz w:val="13"/>
          <w:szCs w:val="13"/>
          <w:color w:val="008000"/>
        </w:rPr>
      </w:pPr>
    </w:p>
    <w:p>
      <w:pPr>
        <w:ind w:left="20" w:right="180"/>
        <w:spacing w:after="0" w:line="250" w:lineRule="auto"/>
        <w:tabs>
          <w:tab w:leader="none" w:pos="14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first tranche (20%) of performance-based stock options originally granted on March 14, 2025. Vesting occurred upon certification by the Compensation Committee on May 27, 2026 that the applicable performance conditions for the first measurement interval were achieved.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Eric A. Mendelson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10/28/2026</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20" w:right="3680"/>
        <w:spacing w:after="0" w:line="331" w:lineRule="auto"/>
        <w:tabs>
          <w:tab w:leader="none" w:pos="15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31083" TargetMode="External"/><Relationship Id="rId14" Type="http://schemas.openxmlformats.org/officeDocument/2006/relationships/hyperlink" Target="http://www.sec.gov/cgi-bin/browse-edgar?action=getcompany&amp;CIK=00000466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2026-10-28T16:11:29Z</dcterms:created>
  <dcterms:modified xsi:type="dcterms:W3CDTF">2026-10-28T16:11:29Z</dcterms:modified>
</cp:coreProperties>
</file>