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color w:val="000000"/>
                <w:sz w:val="20"/>
              </w:rPr>
            </w:pPr>
            <w:r>
              <w:rPr>
                <w:rFonts w:ascii="Times New Roman;serif" w:hAnsi="Times New Roman;serif"/>
                <w:b/>
                <w:color w:val="000000"/>
                <w:sz w:val="20"/>
              </w:rPr>
              <w:t>For the quarterly period ended July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_______</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001-04604</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HEICO CORPORATION</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656" w:type="dxa"/>
        <w:jc w:val="center"/>
        <w:tblInd w:w="0" w:type="dxa"/>
        <w:tblLayout w:type="fixed"/>
        <w:tblCellMar>
          <w:top w:w="28" w:type="dxa"/>
          <w:left w:w="28" w:type="dxa"/>
          <w:bottom w:w="28" w:type="dxa"/>
          <w:right w:w="28" w:type="dxa"/>
        </w:tblCellMar>
      </w:tblPr>
      <w:tblGrid>
        <w:gridCol w:w="1194"/>
        <w:gridCol w:w="1050"/>
        <w:gridCol w:w="1056"/>
        <w:gridCol w:w="109"/>
        <w:gridCol w:w="109"/>
        <w:gridCol w:w="109"/>
        <w:gridCol w:w="884"/>
        <w:gridCol w:w="884"/>
        <w:gridCol w:w="1261"/>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65-0341002</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3000 Taft Street, Hollywood,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(954) 987-4000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535"/>
        <w:gridCol w:w="1339"/>
        <w:gridCol w:w="1355"/>
        <w:gridCol w:w="109"/>
        <w:gridCol w:w="109"/>
        <w:gridCol w:w="109"/>
        <w:gridCol w:w="535"/>
        <w:gridCol w:w="535"/>
        <w:gridCol w:w="537"/>
        <w:gridCol w:w="109"/>
        <w:gridCol w:w="109"/>
        <w:gridCol w:w="109"/>
        <w:gridCol w:w="1087"/>
        <w:gridCol w:w="1087"/>
        <w:gridCol w:w="1541"/>
      </w:tblGrid>
      <w:tr>
        <w:trPr/>
        <w:tc>
          <w:tcPr>
            <w:tcW w:w="15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Stock Exchange </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Class A Common Stock, $.01 par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York Stock Exchange </w:t>
            </w:r>
          </w:p>
        </w:tc>
      </w:tr>
    </w:tbl>
    <w:p>
      <w:pPr>
        <w:pStyle w:val="TextBody"/>
        <w:bidi w:val="0"/>
        <w:spacing w:lineRule="auto" w:line="288" w:before="80" w:after="2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rPr>
        <w:t xml:space="preserve">☒ </w:t>
      </w:r>
      <w:r>
        <w:rPr>
          <w:rFonts w:ascii="Times New Roman;serif" w:hAnsi="Times New Roman;serif"/>
          <w:b w:val="false"/>
          <w:color w:val="000000"/>
          <w:sz w:val="20"/>
        </w:rPr>
        <w:t xml:space="preserve">Accelerated filer </w:t>
      </w:r>
      <w:r>
        <w:rPr>
          <w:color w:val="000000"/>
        </w:rPr>
        <w:t xml:space="preserve">☐ </w:t>
      </w:r>
      <w:r>
        <w:rPr>
          <w:rFonts w:ascii="Times New Roman;serif" w:hAnsi="Times New Roman;serif"/>
          <w:b w:val="false"/>
          <w:color w:val="000000"/>
          <w:sz w:val="20"/>
        </w:rPr>
        <w:t xml:space="preserve">Non-accelerated filer </w:t>
      </w:r>
      <w:r>
        <w:rPr>
          <w:color w:val="000000"/>
        </w:rPr>
        <w:t>☐</w:t>
      </w:r>
    </w:p>
    <w:p>
      <w:pPr>
        <w:pStyle w:val="TextBody"/>
        <w:bidi w:val="0"/>
        <w:spacing w:lineRule="auto" w:line="288" w:before="0" w:after="240"/>
        <w:jc w:val="center"/>
        <w:rPr/>
      </w:pP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registrant’s classes of common stock as of August 25, 2026 is as follows:</w:t>
      </w:r>
    </w:p>
    <w:tbl>
      <w:tblPr>
        <w:tblW w:w="5120" w:type="dxa"/>
        <w:jc w:val="center"/>
        <w:tblInd w:w="0" w:type="dxa"/>
        <w:tblLayout w:type="fixed"/>
        <w:tblCellMar>
          <w:top w:w="28" w:type="dxa"/>
          <w:left w:w="28" w:type="dxa"/>
          <w:bottom w:w="28" w:type="dxa"/>
          <w:right w:w="28" w:type="dxa"/>
        </w:tblCellMar>
      </w:tblPr>
      <w:tblGrid>
        <w:gridCol w:w="1187"/>
        <w:gridCol w:w="1045"/>
        <w:gridCol w:w="1052"/>
        <w:gridCol w:w="540"/>
        <w:gridCol w:w="541"/>
        <w:gridCol w:w="109"/>
        <w:gridCol w:w="189"/>
        <w:gridCol w:w="189"/>
        <w:gridCol w:w="268"/>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55,241,647 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$.01 par value</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84,515,758 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HEICO CORPORATION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INDEX TO QUARTERLY REPORT ON FORM 10-Q</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
        <w:gridCol w:w="233"/>
        <w:gridCol w:w="236"/>
        <w:gridCol w:w="314"/>
        <w:gridCol w:w="314"/>
        <w:gridCol w:w="314"/>
        <w:gridCol w:w="2681"/>
        <w:gridCol w:w="2582"/>
        <w:gridCol w:w="2612"/>
        <w:gridCol w:w="189"/>
        <w:gridCol w:w="189"/>
        <w:gridCol w:w="273"/>
      </w:tblGrid>
      <w:tr>
        <w:trPr/>
        <w:tc>
          <w:tcPr>
            <w:tcW w:w="2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w:t>
            </w:r>
          </w:p>
        </w:tc>
        <w:tc>
          <w:tcPr>
            <w:tcW w:w="881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Financial Information</w:t>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1.</w:t>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93320fda5d4d9db46a1230e6667fb6_16">
              <w:r>
                <w:rPr>
                  <w:rStyle w:val="InternetLink"/>
                  <w:rFonts w:ascii="Times New Roman;serif" w:hAnsi="Times New Roman;serif"/>
                  <w:b w:val="false"/>
                  <w:strike w:val="false"/>
                  <w:dstrike w:val="false"/>
                  <w:color w:val="0000FF"/>
                  <w:sz w:val="24"/>
                  <w:u w:val="none"/>
                  <w:effect w:val="none"/>
                </w:rPr>
                <w:t>Financial Statements:</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493320fda5d4d9db46a1230e6667fb6_19">
              <w:r>
                <w:rPr>
                  <w:rStyle w:val="InternetLink"/>
                  <w:rFonts w:ascii="Times New Roman;serif" w:hAnsi="Times New Roman;serif"/>
                  <w:b w:val="false"/>
                  <w:color w:val="000080"/>
                  <w:sz w:val="24"/>
                  <w:u w:val="single"/>
                </w:rPr>
                <w:t>Condensed Consolidated Balance Sheets (unaudited)</w:t>
              </w:r>
            </w:hyperlink>
            <w:hyperlink w:anchor="i7493320fda5d4d9db46a1230e6667fb6_19">
              <w:r>
                <w:rPr>
                  <w:rStyle w:val="InternetLink"/>
                  <w:rFonts w:ascii="Times New Roman;serif" w:hAnsi="Times New Roman;serif"/>
                  <w:b w:val="false"/>
                  <w:color w:val="000080"/>
                  <w:sz w:val="24"/>
                  <w:u w:val="single"/>
                </w:rPr>
                <w:br/>
              </w:r>
            </w:hyperlink>
            <w:hyperlink w:anchor="i7493320fda5d4d9db46a1230e6667fb6_19">
              <w:r>
                <w:rPr>
                  <w:rStyle w:val="InternetLink"/>
                  <w:rFonts w:ascii="Times New Roman;serif" w:hAnsi="Times New Roman;serif"/>
                  <w:b w:val="false"/>
                  <w:color w:val="000080"/>
                  <w:sz w:val="24"/>
                  <w:u w:val="single"/>
                </w:rPr>
                <w:t xml:space="preserve">as of </w:t>
              </w:r>
            </w:hyperlink>
            <w:hyperlink w:anchor="i7493320fda5d4d9db46a1230e6667fb6_19">
              <w:r>
                <w:rPr>
                  <w:rStyle w:val="InternetLink"/>
                  <w:rFonts w:ascii="Times New Roman;serif" w:hAnsi="Times New Roman;serif"/>
                  <w:b w:val="false"/>
                  <w:color w:val="000080"/>
                  <w:sz w:val="24"/>
                  <w:u w:val="single"/>
                </w:rPr>
                <w:t>July 31</w:t>
              </w:r>
            </w:hyperlink>
            <w:hyperlink w:anchor="i7493320fda5d4d9db46a1230e6667fb6_19">
              <w:r>
                <w:rPr>
                  <w:rStyle w:val="InternetLink"/>
                  <w:rFonts w:ascii="Times New Roman;serif" w:hAnsi="Times New Roman;serif"/>
                  <w:b w:val="false"/>
                  <w:color w:val="000080"/>
                  <w:sz w:val="24"/>
                  <w:u w:val="single"/>
                </w:rPr>
                <w:t>, 2026 and October 31, 2025</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19">
              <w:r>
                <w:rPr>
                  <w:rStyle w:val="InternetLink"/>
                  <w:rFonts w:ascii="Times New Roman;serif" w:hAnsi="Times New Roman;serif"/>
                  <w:b w:val="false"/>
                  <w:color w:val="0000FF"/>
                  <w:sz w:val="24"/>
                  <w:u w:val="single"/>
                </w:rPr>
                <w:t>2</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493320fda5d4d9db46a1230e6667fb6_22">
              <w:r>
                <w:rPr>
                  <w:rStyle w:val="InternetLink"/>
                  <w:rFonts w:ascii="Times New Roman;serif" w:hAnsi="Times New Roman;serif"/>
                  <w:b w:val="false"/>
                  <w:color w:val="000080"/>
                  <w:sz w:val="24"/>
                  <w:u w:val="single"/>
                </w:rPr>
                <w:t>Condensed Consolidated Statements of Operations (unaudited)</w:t>
              </w:r>
            </w:hyperlink>
            <w:hyperlink w:anchor="i7493320fda5d4d9db46a1230e6667fb6_22">
              <w:r>
                <w:rPr>
                  <w:rStyle w:val="InternetLink"/>
                  <w:rFonts w:ascii="Times New Roman;serif" w:hAnsi="Times New Roman;serif"/>
                  <w:b w:val="false"/>
                  <w:color w:val="000080"/>
                  <w:sz w:val="24"/>
                  <w:u w:val="single"/>
                </w:rPr>
                <w:br/>
              </w:r>
            </w:hyperlink>
            <w:hyperlink w:anchor="i7493320fda5d4d9db46a1230e6667fb6_22">
              <w:r>
                <w:rPr>
                  <w:rStyle w:val="InternetLink"/>
                  <w:rFonts w:ascii="Times New Roman;serif" w:hAnsi="Times New Roman;serif"/>
                  <w:b w:val="false"/>
                  <w:color w:val="000080"/>
                  <w:sz w:val="24"/>
                  <w:u w:val="single"/>
                </w:rPr>
                <w:t xml:space="preserve">for the </w:t>
              </w:r>
            </w:hyperlink>
            <w:hyperlink w:anchor="i7493320fda5d4d9db46a1230e6667fb6_22">
              <w:r>
                <w:rPr>
                  <w:rStyle w:val="InternetLink"/>
                  <w:rFonts w:ascii="Times New Roman;serif" w:hAnsi="Times New Roman;serif"/>
                  <w:b w:val="false"/>
                  <w:color w:val="000080"/>
                  <w:sz w:val="24"/>
                  <w:u w:val="single"/>
                </w:rPr>
                <w:t>nine</w:t>
              </w:r>
            </w:hyperlink>
            <w:hyperlink w:anchor="i7493320fda5d4d9db46a1230e6667fb6_22">
              <w:r>
                <w:rPr>
                  <w:rStyle w:val="InternetLink"/>
                  <w:rFonts w:ascii="Times New Roman;serif" w:hAnsi="Times New Roman;serif"/>
                  <w:b w:val="false"/>
                  <w:color w:val="000080"/>
                  <w:sz w:val="24"/>
                  <w:u w:val="single"/>
                </w:rPr>
                <w:t xml:space="preserve"> and three months ended </w:t>
              </w:r>
            </w:hyperlink>
            <w:hyperlink w:anchor="i7493320fda5d4d9db46a1230e6667fb6_22">
              <w:r>
                <w:rPr>
                  <w:rStyle w:val="InternetLink"/>
                  <w:rFonts w:ascii="Times New Roman;serif" w:hAnsi="Times New Roman;serif"/>
                  <w:b w:val="false"/>
                  <w:color w:val="000080"/>
                  <w:sz w:val="24"/>
                  <w:u w:val="single"/>
                </w:rPr>
                <w:t>July 31</w:t>
              </w:r>
            </w:hyperlink>
            <w:hyperlink w:anchor="i7493320fda5d4d9db46a1230e6667fb6_22">
              <w:r>
                <w:rPr>
                  <w:rStyle w:val="InternetLink"/>
                  <w:rFonts w:ascii="Times New Roman;serif" w:hAnsi="Times New Roman;serif"/>
                  <w:b w:val="false"/>
                  <w:color w:val="000080"/>
                  <w:sz w:val="24"/>
                  <w:u w:val="single"/>
                </w:rPr>
                <w:t>, 2026 and 2025</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22">
              <w:r>
                <w:rPr>
                  <w:rStyle w:val="InternetLink"/>
                  <w:rFonts w:ascii="Times New Roman;serif" w:hAnsi="Times New Roman;serif"/>
                  <w:b w:val="false"/>
                  <w:color w:val="0000FF"/>
                  <w:sz w:val="24"/>
                  <w:u w:val="single"/>
                </w:rPr>
                <w:t>3</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493320fda5d4d9db46a1230e6667fb6_25">
              <w:r>
                <w:rPr>
                  <w:rStyle w:val="InternetLink"/>
                  <w:rFonts w:ascii="Times New Roman;serif" w:hAnsi="Times New Roman;serif"/>
                  <w:b w:val="false"/>
                  <w:color w:val="000080"/>
                  <w:sz w:val="24"/>
                  <w:u w:val="single"/>
                </w:rPr>
                <w:t xml:space="preserve">Condensed Consolidated Statements of Comprehensive Income (unaudited) for the </w:t>
              </w:r>
            </w:hyperlink>
            <w:hyperlink w:anchor="i7493320fda5d4d9db46a1230e6667fb6_25">
              <w:r>
                <w:rPr>
                  <w:rStyle w:val="InternetLink"/>
                  <w:rFonts w:ascii="Times New Roman;serif" w:hAnsi="Times New Roman;serif"/>
                  <w:b w:val="false"/>
                  <w:color w:val="000080"/>
                  <w:sz w:val="24"/>
                  <w:u w:val="single"/>
                </w:rPr>
                <w:t>nine</w:t>
              </w:r>
            </w:hyperlink>
            <w:hyperlink w:anchor="i7493320fda5d4d9db46a1230e6667fb6_25">
              <w:r>
                <w:rPr>
                  <w:rStyle w:val="InternetLink"/>
                  <w:rFonts w:ascii="Times New Roman;serif" w:hAnsi="Times New Roman;serif"/>
                  <w:b w:val="false"/>
                  <w:color w:val="000080"/>
                  <w:sz w:val="24"/>
                  <w:u w:val="single"/>
                </w:rPr>
                <w:t xml:space="preserve"> and three months ended </w:t>
              </w:r>
            </w:hyperlink>
            <w:hyperlink w:anchor="i7493320fda5d4d9db46a1230e6667fb6_25">
              <w:r>
                <w:rPr>
                  <w:rStyle w:val="InternetLink"/>
                  <w:rFonts w:ascii="Times New Roman;serif" w:hAnsi="Times New Roman;serif"/>
                  <w:b w:val="false"/>
                  <w:color w:val="000080"/>
                  <w:sz w:val="24"/>
                  <w:u w:val="single"/>
                </w:rPr>
                <w:t>July 31</w:t>
              </w:r>
            </w:hyperlink>
            <w:hyperlink w:anchor="i7493320fda5d4d9db46a1230e6667fb6_25">
              <w:r>
                <w:rPr>
                  <w:rStyle w:val="InternetLink"/>
                  <w:rFonts w:ascii="Times New Roman;serif" w:hAnsi="Times New Roman;serif"/>
                  <w:b w:val="false"/>
                  <w:color w:val="000080"/>
                  <w:sz w:val="24"/>
                  <w:u w:val="single"/>
                </w:rPr>
                <w:t>, 2026 and 2025</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25">
              <w:r>
                <w:rPr>
                  <w:rStyle w:val="InternetLink"/>
                  <w:rFonts w:ascii="Times New Roman;serif" w:hAnsi="Times New Roman;serif"/>
                  <w:b w:val="false"/>
                  <w:color w:val="0000FF"/>
                  <w:sz w:val="24"/>
                  <w:u w:val="single"/>
                </w:rPr>
                <w:t>4</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493320fda5d4d9db46a1230e6667fb6_28">
              <w:r>
                <w:rPr>
                  <w:rStyle w:val="InternetLink"/>
                  <w:rFonts w:ascii="Times New Roman;serif" w:hAnsi="Times New Roman;serif"/>
                  <w:b w:val="false"/>
                  <w:color w:val="000080"/>
                  <w:sz w:val="24"/>
                  <w:u w:val="single"/>
                </w:rPr>
                <w:t xml:space="preserve">Condensed Consolidated Statements of Shareholders’ Equity (unaudited) for the </w:t>
              </w:r>
            </w:hyperlink>
            <w:hyperlink w:anchor="i7493320fda5d4d9db46a1230e6667fb6_28">
              <w:r>
                <w:rPr>
                  <w:rStyle w:val="InternetLink"/>
                  <w:rFonts w:ascii="Times New Roman;serif" w:hAnsi="Times New Roman;serif"/>
                  <w:b w:val="false"/>
                  <w:color w:val="000080"/>
                  <w:sz w:val="24"/>
                  <w:u w:val="single"/>
                </w:rPr>
                <w:t>nine</w:t>
              </w:r>
            </w:hyperlink>
            <w:hyperlink w:anchor="i7493320fda5d4d9db46a1230e6667fb6_28">
              <w:r>
                <w:rPr>
                  <w:rStyle w:val="InternetLink"/>
                  <w:rFonts w:ascii="Times New Roman;serif" w:hAnsi="Times New Roman;serif"/>
                  <w:b w:val="false"/>
                  <w:color w:val="000080"/>
                  <w:sz w:val="24"/>
                  <w:u w:val="single"/>
                </w:rPr>
                <w:t xml:space="preserve"> and three months ended </w:t>
              </w:r>
            </w:hyperlink>
            <w:hyperlink w:anchor="i7493320fda5d4d9db46a1230e6667fb6_28">
              <w:r>
                <w:rPr>
                  <w:rStyle w:val="InternetLink"/>
                  <w:rFonts w:ascii="Times New Roman;serif" w:hAnsi="Times New Roman;serif"/>
                  <w:b w:val="false"/>
                  <w:color w:val="000080"/>
                  <w:sz w:val="24"/>
                  <w:u w:val="single"/>
                </w:rPr>
                <w:t>July 31</w:t>
              </w:r>
            </w:hyperlink>
            <w:hyperlink w:anchor="i7493320fda5d4d9db46a1230e6667fb6_28">
              <w:r>
                <w:rPr>
                  <w:rStyle w:val="InternetLink"/>
                  <w:rFonts w:ascii="Times New Roman;serif" w:hAnsi="Times New Roman;serif"/>
                  <w:b w:val="false"/>
                  <w:color w:val="000080"/>
                  <w:sz w:val="24"/>
                  <w:u w:val="single"/>
                </w:rPr>
                <w:t>, 2026 and 2025</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28">
              <w:r>
                <w:rPr>
                  <w:rStyle w:val="InternetLink"/>
                  <w:rFonts w:ascii="Times New Roman;serif" w:hAnsi="Times New Roman;serif"/>
                  <w:b w:val="false"/>
                  <w:color w:val="0000FF"/>
                  <w:sz w:val="24"/>
                  <w:u w:val="single"/>
                </w:rPr>
                <w:t>5</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493320fda5d4d9db46a1230e6667fb6_31">
              <w:r>
                <w:rPr>
                  <w:rStyle w:val="InternetLink"/>
                  <w:rFonts w:ascii="Times New Roman;serif" w:hAnsi="Times New Roman;serif"/>
                  <w:b w:val="false"/>
                  <w:color w:val="000080"/>
                  <w:sz w:val="24"/>
                  <w:u w:val="single"/>
                </w:rPr>
                <w:t>Condensed Consolidated Statements of Cash Flows (unaudited)</w:t>
              </w:r>
            </w:hyperlink>
            <w:hyperlink w:anchor="i7493320fda5d4d9db46a1230e6667fb6_31">
              <w:r>
                <w:rPr>
                  <w:rStyle w:val="InternetLink"/>
                  <w:rFonts w:ascii="Times New Roman;serif" w:hAnsi="Times New Roman;serif"/>
                  <w:b w:val="false"/>
                  <w:color w:val="000080"/>
                  <w:sz w:val="24"/>
                  <w:u w:val="single"/>
                </w:rPr>
                <w:br/>
              </w:r>
            </w:hyperlink>
            <w:hyperlink w:anchor="i7493320fda5d4d9db46a1230e6667fb6_31">
              <w:r>
                <w:rPr>
                  <w:rStyle w:val="InternetLink"/>
                  <w:rFonts w:ascii="Times New Roman;serif" w:hAnsi="Times New Roman;serif"/>
                  <w:b w:val="false"/>
                  <w:color w:val="000080"/>
                  <w:sz w:val="24"/>
                  <w:u w:val="single"/>
                </w:rPr>
                <w:t xml:space="preserve">for the </w:t>
              </w:r>
            </w:hyperlink>
            <w:hyperlink w:anchor="i7493320fda5d4d9db46a1230e6667fb6_31">
              <w:r>
                <w:rPr>
                  <w:rStyle w:val="InternetLink"/>
                  <w:rFonts w:ascii="Times New Roman;serif" w:hAnsi="Times New Roman;serif"/>
                  <w:b w:val="false"/>
                  <w:color w:val="000080"/>
                  <w:sz w:val="24"/>
                  <w:u w:val="single"/>
                </w:rPr>
                <w:t>nine</w:t>
              </w:r>
            </w:hyperlink>
            <w:hyperlink w:anchor="i7493320fda5d4d9db46a1230e6667fb6_31">
              <w:r>
                <w:rPr>
                  <w:rStyle w:val="InternetLink"/>
                  <w:rFonts w:ascii="Times New Roman;serif" w:hAnsi="Times New Roman;serif"/>
                  <w:b w:val="false"/>
                  <w:color w:val="000080"/>
                  <w:sz w:val="24"/>
                  <w:u w:val="single"/>
                </w:rPr>
                <w:t xml:space="preserve"> months ended </w:t>
              </w:r>
            </w:hyperlink>
            <w:hyperlink w:anchor="i7493320fda5d4d9db46a1230e6667fb6_31">
              <w:r>
                <w:rPr>
                  <w:rStyle w:val="InternetLink"/>
                  <w:rFonts w:ascii="Times New Roman;serif" w:hAnsi="Times New Roman;serif"/>
                  <w:b w:val="false"/>
                  <w:color w:val="000080"/>
                  <w:sz w:val="24"/>
                  <w:u w:val="single"/>
                </w:rPr>
                <w:t>July 31</w:t>
              </w:r>
            </w:hyperlink>
            <w:hyperlink w:anchor="i7493320fda5d4d9db46a1230e6667fb6_31">
              <w:r>
                <w:rPr>
                  <w:rStyle w:val="InternetLink"/>
                  <w:rFonts w:ascii="Times New Roman;serif" w:hAnsi="Times New Roman;serif"/>
                  <w:b w:val="false"/>
                  <w:color w:val="000080"/>
                  <w:sz w:val="24"/>
                  <w:u w:val="single"/>
                </w:rPr>
                <w:t>, 2026 and 2025</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31">
              <w:r>
                <w:rPr>
                  <w:rStyle w:val="InternetLink"/>
                  <w:rFonts w:ascii="Times New Roman;serif" w:hAnsi="Times New Roman;serif"/>
                  <w:b w:val="false"/>
                  <w:color w:val="0000FF"/>
                  <w:sz w:val="24"/>
                  <w:u w:val="single"/>
                </w:rPr>
                <w:t>7</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93320fda5d4d9db46a1230e6667fb6_34">
              <w:r>
                <w:rPr>
                  <w:rStyle w:val="InternetLink"/>
                  <w:rFonts w:ascii="Times New Roman;serif" w:hAnsi="Times New Roman;serif"/>
                  <w:b w:val="false"/>
                  <w:color w:val="0000FF"/>
                  <w:sz w:val="24"/>
                  <w:u w:val="single"/>
                </w:rPr>
                <w:t>Notes to Condensed Consolidated Financial Statements (unaudited)</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34">
              <w:r>
                <w:rPr>
                  <w:rStyle w:val="InternetLink"/>
                  <w:rFonts w:ascii="Times New Roman;serif" w:hAnsi="Times New Roman;serif"/>
                  <w:b w:val="false"/>
                  <w:color w:val="0000FF"/>
                  <w:sz w:val="24"/>
                  <w:u w:val="single"/>
                </w:rPr>
                <w:t>8</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2.</w:t>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7493320fda5d4d9db46a1230e6667fb6_76">
              <w:r>
                <w:rPr>
                  <w:rStyle w:val="InternetLink"/>
                  <w:rFonts w:ascii="Times New Roman;serif" w:hAnsi="Times New Roman;serif"/>
                  <w:b w:val="false"/>
                  <w:color w:val="000080"/>
                  <w:sz w:val="24"/>
                  <w:u w:val="single"/>
                </w:rPr>
                <w:t>Management’s Discussion and Analysis of Financial Condition and</w:t>
              </w:r>
            </w:hyperlink>
            <w:hyperlink w:anchor="i7493320fda5d4d9db46a1230e6667fb6_76">
              <w:r>
                <w:rPr>
                  <w:rStyle w:val="InternetLink"/>
                  <w:rFonts w:ascii="Times New Roman;serif" w:hAnsi="Times New Roman;serif"/>
                  <w:b w:val="false"/>
                  <w:color w:val="000080"/>
                  <w:sz w:val="24"/>
                  <w:u w:val="single"/>
                </w:rPr>
                <w:br/>
              </w:r>
            </w:hyperlink>
            <w:hyperlink w:anchor="i7493320fda5d4d9db46a1230e6667fb6_76">
              <w:r>
                <w:rPr>
                  <w:rStyle w:val="InternetLink"/>
                  <w:rFonts w:ascii="Times New Roman;serif" w:hAnsi="Times New Roman;serif"/>
                  <w:b w:val="false"/>
                  <w:color w:val="000080"/>
                  <w:sz w:val="24"/>
                  <w:u w:val="single"/>
                </w:rPr>
                <w:t>Results of Operations</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76">
              <w:r>
                <w:rPr>
                  <w:rStyle w:val="InternetLink"/>
                  <w:rFonts w:ascii="Times New Roman;serif" w:hAnsi="Times New Roman;serif"/>
                  <w:b w:val="false"/>
                  <w:color w:val="0000FF"/>
                  <w:sz w:val="24"/>
                  <w:u w:val="single"/>
                </w:rPr>
                <w:t>31</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3.</w:t>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93320fda5d4d9db46a1230e6667fb6_109">
              <w:r>
                <w:rPr>
                  <w:rStyle w:val="InternetLink"/>
                  <w:rFonts w:ascii="Times New Roman;serif" w:hAnsi="Times New Roman;serif"/>
                  <w:b w:val="false"/>
                  <w:color w:val="0000FF"/>
                  <w:sz w:val="24"/>
                  <w:u w:val="single"/>
                </w:rPr>
                <w:t>Quantitative and Qualitative Disclosures About Market Risk</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109">
              <w:r>
                <w:rPr>
                  <w:rStyle w:val="InternetLink"/>
                  <w:rFonts w:ascii="Times New Roman;serif" w:hAnsi="Times New Roman;serif"/>
                  <w:b w:val="false"/>
                  <w:color w:val="0000FF"/>
                  <w:sz w:val="24"/>
                  <w:u w:val="single"/>
                </w:rPr>
                <w:t>42</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4.</w:t>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93320fda5d4d9db46a1230e6667fb6_112">
              <w:r>
                <w:rPr>
                  <w:rStyle w:val="InternetLink"/>
                  <w:rFonts w:ascii="Times New Roman;serif" w:hAnsi="Times New Roman;serif"/>
                  <w:b w:val="false"/>
                  <w:color w:val="0000FF"/>
                  <w:sz w:val="24"/>
                  <w:u w:val="single"/>
                </w:rPr>
                <w:t>Controls and Procedures</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112">
              <w:r>
                <w:rPr>
                  <w:rStyle w:val="InternetLink"/>
                  <w:rFonts w:ascii="Times New Roman;serif" w:hAnsi="Times New Roman;serif"/>
                  <w:b w:val="false"/>
                  <w:color w:val="0000FF"/>
                  <w:sz w:val="24"/>
                  <w:u w:val="single"/>
                </w:rPr>
                <w:t>42</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II.</w:t>
            </w:r>
          </w:p>
        </w:tc>
        <w:tc>
          <w:tcPr>
            <w:tcW w:w="881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Other Information</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78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r>
      <w:tr>
        <w:trPr/>
        <w:tc>
          <w:tcPr>
            <w:tcW w:w="73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787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Item 5.</w:t>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E32E1"/>
                <w:sz w:val="24"/>
                <w:u w:val="single"/>
              </w:rPr>
            </w:pPr>
            <w:r>
              <w:rPr>
                <w:rFonts w:ascii="Times New Roman;serif" w:hAnsi="Times New Roman;serif"/>
                <w:b w:val="false"/>
                <w:color w:val="0E32E1"/>
                <w:sz w:val="24"/>
                <w:u w:val="single"/>
              </w:rPr>
              <w:t>Other Information</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121">
              <w:r>
                <w:rPr>
                  <w:rStyle w:val="InternetLink"/>
                  <w:rFonts w:ascii="Times New Roman;serif" w:hAnsi="Times New Roman;serif"/>
                  <w:b w:val="false"/>
                  <w:color w:val="0000FF"/>
                  <w:sz w:val="24"/>
                  <w:u w:val="single"/>
                </w:rPr>
                <w:t>43</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Item 6.</w:t>
            </w:r>
          </w:p>
        </w:tc>
        <w:tc>
          <w:tcPr>
            <w:tcW w:w="7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493320fda5d4d9db46a1230e6667fb6_124">
              <w:r>
                <w:rPr>
                  <w:rStyle w:val="InternetLink"/>
                  <w:rFonts w:ascii="Times New Roman;serif" w:hAnsi="Times New Roman;serif"/>
                  <w:b w:val="false"/>
                  <w:color w:val="0000FF"/>
                  <w:sz w:val="24"/>
                  <w:u w:val="single"/>
                </w:rPr>
                <w:t>Exhibits</w:t>
              </w:r>
            </w:hyperlink>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124">
              <w:r>
                <w:rPr>
                  <w:rStyle w:val="InternetLink"/>
                  <w:rFonts w:ascii="Times New Roman;serif" w:hAnsi="Times New Roman;serif"/>
                  <w:b w:val="false"/>
                  <w:color w:val="0000FF"/>
                  <w:sz w:val="24"/>
                  <w:u w:val="single"/>
                </w:rPr>
                <w:t>44</w:t>
              </w:r>
            </w:hyperlink>
          </w:p>
        </w:tc>
      </w:tr>
      <w:tr>
        <w:trPr/>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7493320fda5d4d9db46a1230e6667fb6_127">
              <w:r>
                <w:rPr>
                  <w:rStyle w:val="InternetLink"/>
                  <w:rFonts w:ascii="Times New Roman;serif" w:hAnsi="Times New Roman;serif"/>
                  <w:b/>
                  <w:color w:val="0000FF"/>
                  <w:sz w:val="24"/>
                  <w:u w:val="single"/>
                </w:rPr>
                <w:t>Signatures</w:t>
              </w:r>
            </w:hyperlink>
          </w:p>
        </w:tc>
        <w:tc>
          <w:tcPr>
            <w:tcW w:w="7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493320fda5d4d9db46a1230e6667fb6_127">
              <w:r>
                <w:rPr>
                  <w:rStyle w:val="InternetLink"/>
                  <w:rFonts w:ascii="Times New Roman;serif" w:hAnsi="Times New Roman;serif"/>
                  <w:b w:val="false"/>
                  <w:color w:val="0000FF"/>
                  <w:sz w:val="24"/>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26415"/>
                <wp:effectExtent l="0" t="0" r="0" b="0"/>
                <wp:wrapNone/>
                <wp:docPr id="2" name="Frame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0205" w:type="dxa"/>
        <w:jc w:val="center"/>
        <w:tblInd w:w="0" w:type="dxa"/>
        <w:tblLayout w:type="fixed"/>
        <w:tblCellMar>
          <w:top w:w="28" w:type="dxa"/>
          <w:left w:w="28" w:type="dxa"/>
          <w:bottom w:w="28" w:type="dxa"/>
          <w:right w:w="28" w:type="dxa"/>
        </w:tblCellMar>
      </w:tblPr>
      <w:tblGrid>
        <w:gridCol w:w="2492"/>
        <w:gridCol w:w="2048"/>
        <w:gridCol w:w="2009"/>
        <w:gridCol w:w="109"/>
        <w:gridCol w:w="109"/>
        <w:gridCol w:w="109"/>
        <w:gridCol w:w="539"/>
        <w:gridCol w:w="542"/>
        <w:gridCol w:w="308"/>
        <w:gridCol w:w="109"/>
        <w:gridCol w:w="109"/>
        <w:gridCol w:w="109"/>
        <w:gridCol w:w="543"/>
        <w:gridCol w:w="538"/>
        <w:gridCol w:w="532"/>
      </w:tblGrid>
      <w:tr>
        <w:trPr/>
        <w:tc>
          <w:tcPr>
            <w:tcW w:w="2492"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October 31, 2025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$240,959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$217,781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736,335 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637,615 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1,447,885 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1,295,336 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2,725,491 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2,356,366 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478,326 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431,710 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4,356,143 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3,661,624 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1,471,440 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599,709 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579,294 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$9,936,611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$8,500,434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231,040 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676,264 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577,624 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1,003,079 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832,004 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2,537,660 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2,164,587 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107,186 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571,536 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550,124 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4,293,786 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3,653,901 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617,893 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467,358 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per share; 10,000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Common Stock, $.01 par value per share; 150,000 shares authorized; 55,242 and 55,143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Class A Common Stock, $.01 par value per share; 150,000 shares authorized; 84,511 and 84,198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728,827 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650,667 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HEICO stock held by irrevocable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4,222,045 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3,647,678 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HEICO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4,947,689 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4,305,319 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73,856 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5,024,932 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4,379,175 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$9,936,611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$8,500,434 </w:t>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0205" w:type="dxa"/>
        <w:jc w:val="center"/>
        <w:tblInd w:w="0" w:type="dxa"/>
        <w:tblLayout w:type="fixed"/>
        <w:tblCellMar>
          <w:top w:w="28" w:type="dxa"/>
          <w:left w:w="28" w:type="dxa"/>
          <w:bottom w:w="28" w:type="dxa"/>
          <w:right w:w="28" w:type="dxa"/>
        </w:tblCellMar>
      </w:tblPr>
      <w:tblGrid>
        <w:gridCol w:w="1325"/>
        <w:gridCol w:w="1034"/>
        <w:gridCol w:w="1048"/>
        <w:gridCol w:w="694"/>
        <w:gridCol w:w="387"/>
        <w:gridCol w:w="204"/>
        <w:gridCol w:w="204"/>
        <w:gridCol w:w="204"/>
        <w:gridCol w:w="204"/>
        <w:gridCol w:w="694"/>
        <w:gridCol w:w="387"/>
        <w:gridCol w:w="204"/>
        <w:gridCol w:w="109"/>
        <w:gridCol w:w="109"/>
        <w:gridCol w:w="109"/>
        <w:gridCol w:w="710"/>
        <w:gridCol w:w="371"/>
        <w:gridCol w:w="207"/>
        <w:gridCol w:w="207"/>
        <w:gridCol w:w="207"/>
        <w:gridCol w:w="207"/>
        <w:gridCol w:w="710"/>
        <w:gridCol w:w="371"/>
        <w:gridCol w:w="299"/>
      </w:tblGrid>
      <w:tr>
        <w:trPr/>
        <w:tc>
          <w:tcPr>
            <w:tcW w:w="13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$3,967,345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$3,275,633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$1,147,591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2,361,869 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690,434 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3,001,812 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2,535,657 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882,572 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739,976 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355,197 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(31,701)</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HEICO</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HEICO shareholders: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139,544 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139,135 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140,678 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52195"/>
                <wp:effectExtent l="0" t="0" r="0" b="0"/>
                <wp:wrapNone/>
                <wp:docPr id="4" name="Frame4"/>
                <a:graphic xmlns:a="http://schemas.openxmlformats.org/drawingml/2006/main">
                  <a:graphicData uri="http://schemas.microsoft.com/office/word/2010/wordprocessingShape">
                    <wps:wsp>
                      <wps:cNvSpPr txBox="1"/>
                      <wps:spPr>
                        <a:xfrm>
                          <a:off x="0" y="0"/>
                          <a:ext cx="6480175" cy="105219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HEICO CORPORATION AND SUBSIDIARIES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COMPREHENSIVE INCOME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1565"/>
        <w:gridCol w:w="1283"/>
        <w:gridCol w:w="1286"/>
        <w:gridCol w:w="598"/>
        <w:gridCol w:w="333"/>
        <w:gridCol w:w="192"/>
        <w:gridCol w:w="192"/>
        <w:gridCol w:w="192"/>
        <w:gridCol w:w="192"/>
        <w:gridCol w:w="598"/>
        <w:gridCol w:w="333"/>
        <w:gridCol w:w="192"/>
        <w:gridCol w:w="109"/>
        <w:gridCol w:w="109"/>
        <w:gridCol w:w="109"/>
        <w:gridCol w:w="611"/>
        <w:gridCol w:w="320"/>
        <w:gridCol w:w="195"/>
        <w:gridCol w:w="195"/>
        <w:gridCol w:w="195"/>
        <w:gridCol w:w="195"/>
        <w:gridCol w:w="611"/>
        <w:gridCol w:w="320"/>
        <w:gridCol w:w="280"/>
      </w:tblGrid>
      <w:tr>
        <w:trPr/>
        <w:tc>
          <w:tcPr>
            <w:tcW w:w="156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$542,769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defined benefit pension plan, net of tax</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unrealized loss on defined benefit pension plan, net of tax</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27,167 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from consolidated operations</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698,010 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569,936 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241,948 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191,568 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19,039 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attributable to noncontrolling interests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40,889 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12,934 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HEICO</w:t>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$649,267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$529,047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$223,387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$178,634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52195"/>
                <wp:effectExtent l="0" t="0" r="0" b="0"/>
                <wp:wrapNone/>
                <wp:docPr id="5" name="Frame5"/>
                <a:graphic xmlns:a="http://schemas.openxmlformats.org/drawingml/2006/main">
                  <a:graphicData uri="http://schemas.microsoft.com/office/word/2010/wordprocessingShape">
                    <wps:wsp>
                      <wps:cNvSpPr txBox="1"/>
                      <wps:spPr>
                        <a:xfrm>
                          <a:off x="0" y="0"/>
                          <a:ext cx="6480175" cy="105219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Nine Months Ended July 31, 2026 and 2025</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3147" w:type="dxa"/>
        <w:jc w:val="center"/>
        <w:tblInd w:w="0" w:type="dxa"/>
        <w:tblLayout w:type="fixed"/>
        <w:tblCellMar>
          <w:top w:w="28" w:type="dxa"/>
          <w:left w:w="28" w:type="dxa"/>
          <w:bottom w:w="28" w:type="dxa"/>
          <w:right w:w="28" w:type="dxa"/>
        </w:tblCellMar>
      </w:tblPr>
      <w:tblGrid>
        <w:gridCol w:w="618"/>
        <w:gridCol w:w="201"/>
        <w:gridCol w:w="202"/>
        <w:gridCol w:w="351"/>
        <w:gridCol w:w="340"/>
        <w:gridCol w:w="341"/>
        <w:gridCol w:w="109"/>
        <w:gridCol w:w="109"/>
        <w:gridCol w:w="109"/>
        <w:gridCol w:w="226"/>
        <w:gridCol w:w="210"/>
        <w:gridCol w:w="211"/>
        <w:gridCol w:w="109"/>
        <w:gridCol w:w="109"/>
        <w:gridCol w:w="109"/>
        <w:gridCol w:w="226"/>
        <w:gridCol w:w="210"/>
        <w:gridCol w:w="211"/>
        <w:gridCol w:w="109"/>
        <w:gridCol w:w="109"/>
        <w:gridCol w:w="109"/>
        <w:gridCol w:w="506"/>
        <w:gridCol w:w="185"/>
        <w:gridCol w:w="186"/>
        <w:gridCol w:w="109"/>
        <w:gridCol w:w="109"/>
        <w:gridCol w:w="109"/>
        <w:gridCol w:w="320"/>
        <w:gridCol w:w="320"/>
        <w:gridCol w:w="321"/>
        <w:gridCol w:w="109"/>
        <w:gridCol w:w="109"/>
        <w:gridCol w:w="109"/>
        <w:gridCol w:w="286"/>
        <w:gridCol w:w="270"/>
        <w:gridCol w:w="271"/>
        <w:gridCol w:w="109"/>
        <w:gridCol w:w="109"/>
        <w:gridCol w:w="109"/>
        <w:gridCol w:w="340"/>
        <w:gridCol w:w="340"/>
        <w:gridCol w:w="341"/>
        <w:gridCol w:w="109"/>
        <w:gridCol w:w="109"/>
        <w:gridCol w:w="109"/>
        <w:gridCol w:w="404"/>
        <w:gridCol w:w="392"/>
        <w:gridCol w:w="221"/>
        <w:gridCol w:w="109"/>
        <w:gridCol w:w="109"/>
        <w:gridCol w:w="109"/>
        <w:gridCol w:w="340"/>
        <w:gridCol w:w="340"/>
        <w:gridCol w:w="341"/>
        <w:gridCol w:w="109"/>
        <w:gridCol w:w="109"/>
        <w:gridCol w:w="109"/>
        <w:gridCol w:w="521"/>
        <w:gridCol w:w="275"/>
        <w:gridCol w:w="337"/>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Deferred Compensation Obligation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Stock Held by Irrevocable Trust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October 31, 2025</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$467,358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$650,667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$5,581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$3,647,678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$73,856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$4,379,175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Comprehensive income (loss)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34,456 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659,428 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14,287 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663,554 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($.25 per share)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(34,889)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(34,889)</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acquisitions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42,270 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34,439 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HEICO Savings and Investment Plan</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19,351 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Proceeds from stock option exercises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Redemptions of common stock related to stock option exercises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(4,924)</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 assumed related to acquisitions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103,410 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(25,341)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of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(12,744)</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(18,170)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(28,831)</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redemption amount of redeemable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50,072 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(50,072)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(50,072)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July 31, 2026</w:t>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$617,893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$845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$728,827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($4,580)</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$4,222,045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$77,243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$5,024,932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147" w:type="dxa"/>
        <w:jc w:val="center"/>
        <w:tblInd w:w="0" w:type="dxa"/>
        <w:tblLayout w:type="fixed"/>
        <w:tblCellMar>
          <w:top w:w="28" w:type="dxa"/>
          <w:left w:w="28" w:type="dxa"/>
          <w:bottom w:w="28" w:type="dxa"/>
          <w:right w:w="28" w:type="dxa"/>
        </w:tblCellMar>
      </w:tblPr>
      <w:tblGrid>
        <w:gridCol w:w="618"/>
        <w:gridCol w:w="201"/>
        <w:gridCol w:w="202"/>
        <w:gridCol w:w="351"/>
        <w:gridCol w:w="340"/>
        <w:gridCol w:w="341"/>
        <w:gridCol w:w="109"/>
        <w:gridCol w:w="109"/>
        <w:gridCol w:w="109"/>
        <w:gridCol w:w="226"/>
        <w:gridCol w:w="210"/>
        <w:gridCol w:w="211"/>
        <w:gridCol w:w="109"/>
        <w:gridCol w:w="109"/>
        <w:gridCol w:w="109"/>
        <w:gridCol w:w="226"/>
        <w:gridCol w:w="210"/>
        <w:gridCol w:w="211"/>
        <w:gridCol w:w="109"/>
        <w:gridCol w:w="109"/>
        <w:gridCol w:w="109"/>
        <w:gridCol w:w="506"/>
        <w:gridCol w:w="185"/>
        <w:gridCol w:w="186"/>
        <w:gridCol w:w="109"/>
        <w:gridCol w:w="109"/>
        <w:gridCol w:w="109"/>
        <w:gridCol w:w="320"/>
        <w:gridCol w:w="320"/>
        <w:gridCol w:w="321"/>
        <w:gridCol w:w="109"/>
        <w:gridCol w:w="109"/>
        <w:gridCol w:w="109"/>
        <w:gridCol w:w="286"/>
        <w:gridCol w:w="270"/>
        <w:gridCol w:w="271"/>
        <w:gridCol w:w="109"/>
        <w:gridCol w:w="109"/>
        <w:gridCol w:w="109"/>
        <w:gridCol w:w="340"/>
        <w:gridCol w:w="340"/>
        <w:gridCol w:w="341"/>
        <w:gridCol w:w="109"/>
        <w:gridCol w:w="109"/>
        <w:gridCol w:w="109"/>
        <w:gridCol w:w="404"/>
        <w:gridCol w:w="392"/>
        <w:gridCol w:w="221"/>
        <w:gridCol w:w="109"/>
        <w:gridCol w:w="109"/>
        <w:gridCol w:w="109"/>
        <w:gridCol w:w="340"/>
        <w:gridCol w:w="340"/>
        <w:gridCol w:w="341"/>
        <w:gridCol w:w="109"/>
        <w:gridCol w:w="109"/>
        <w:gridCol w:w="109"/>
        <w:gridCol w:w="521"/>
        <w:gridCol w:w="275"/>
        <w:gridCol w:w="337"/>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Deferred Compensation Obligation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Stock Held by Irrevocable Trust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October 31, 2024</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$366,156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$599,399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($26,076)</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$3,062,166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$60,529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$3,697,406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Comprehensive income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28,883 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26,958 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502,089 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541,053 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($.23 per share)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(31,968)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(31,968)</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HEICO Savings and Investment Plan</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18,346 </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for an acquisition</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Proceeds from stock option exercises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Redemptions of common stock related to stock option exercises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(1,979)</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 assumed related to acquisitions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27,906 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(25,514)</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(1,448)</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(1,448)</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of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(5,773)</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redemption amount of redeemable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43,129 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(43,129)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(43,129)</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(3,570)</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July 31, 2025</w:t>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$437,587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$650,314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$3,488,777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$71,087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$4,212,453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52195"/>
                <wp:effectExtent l="0" t="0" r="0" b="0"/>
                <wp:wrapNone/>
                <wp:docPr id="6" name="Frame6"/>
                <a:graphic xmlns:a="http://schemas.openxmlformats.org/drawingml/2006/main">
                  <a:graphicData uri="http://schemas.microsoft.com/office/word/2010/wordprocessingShape">
                    <wps:wsp>
                      <wps:cNvSpPr txBox="1"/>
                      <wps:spPr>
                        <a:xfrm>
                          <a:off x="0" y="0"/>
                          <a:ext cx="6480175" cy="105219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493320fda5d4d9db46a1230e6667fb6_28">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SHAREHOLDERS’ EQUITY - UNAUDITED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the Three Months Ended July 31, 2026 and 2025</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(in thousands, except per share data)</w:t>
      </w:r>
    </w:p>
    <w:tbl>
      <w:tblPr>
        <w:tblW w:w="13147" w:type="dxa"/>
        <w:jc w:val="center"/>
        <w:tblInd w:w="0" w:type="dxa"/>
        <w:tblLayout w:type="fixed"/>
        <w:tblCellMar>
          <w:top w:w="28" w:type="dxa"/>
          <w:left w:w="28" w:type="dxa"/>
          <w:bottom w:w="28" w:type="dxa"/>
          <w:right w:w="28" w:type="dxa"/>
        </w:tblCellMar>
      </w:tblPr>
      <w:tblGrid>
        <w:gridCol w:w="618"/>
        <w:gridCol w:w="201"/>
        <w:gridCol w:w="202"/>
        <w:gridCol w:w="351"/>
        <w:gridCol w:w="340"/>
        <w:gridCol w:w="341"/>
        <w:gridCol w:w="109"/>
        <w:gridCol w:w="109"/>
        <w:gridCol w:w="109"/>
        <w:gridCol w:w="226"/>
        <w:gridCol w:w="210"/>
        <w:gridCol w:w="211"/>
        <w:gridCol w:w="109"/>
        <w:gridCol w:w="109"/>
        <w:gridCol w:w="109"/>
        <w:gridCol w:w="226"/>
        <w:gridCol w:w="210"/>
        <w:gridCol w:w="211"/>
        <w:gridCol w:w="109"/>
        <w:gridCol w:w="109"/>
        <w:gridCol w:w="109"/>
        <w:gridCol w:w="506"/>
        <w:gridCol w:w="185"/>
        <w:gridCol w:w="186"/>
        <w:gridCol w:w="109"/>
        <w:gridCol w:w="109"/>
        <w:gridCol w:w="109"/>
        <w:gridCol w:w="320"/>
        <w:gridCol w:w="320"/>
        <w:gridCol w:w="321"/>
        <w:gridCol w:w="109"/>
        <w:gridCol w:w="109"/>
        <w:gridCol w:w="109"/>
        <w:gridCol w:w="286"/>
        <w:gridCol w:w="270"/>
        <w:gridCol w:w="271"/>
        <w:gridCol w:w="109"/>
        <w:gridCol w:w="109"/>
        <w:gridCol w:w="109"/>
        <w:gridCol w:w="340"/>
        <w:gridCol w:w="340"/>
        <w:gridCol w:w="341"/>
        <w:gridCol w:w="109"/>
        <w:gridCol w:w="109"/>
        <w:gridCol w:w="109"/>
        <w:gridCol w:w="404"/>
        <w:gridCol w:w="392"/>
        <w:gridCol w:w="221"/>
        <w:gridCol w:w="109"/>
        <w:gridCol w:w="109"/>
        <w:gridCol w:w="109"/>
        <w:gridCol w:w="340"/>
        <w:gridCol w:w="340"/>
        <w:gridCol w:w="341"/>
        <w:gridCol w:w="109"/>
        <w:gridCol w:w="109"/>
        <w:gridCol w:w="109"/>
        <w:gridCol w:w="521"/>
        <w:gridCol w:w="275"/>
        <w:gridCol w:w="337"/>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Deferred Compensation Obligation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Stock Held by Irrevocable Trust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April 30, 2026</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$536,654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$729,863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$7,472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$4,033,326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$82,859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$4,854,917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Comprehensive income (loss)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13,557 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(12,052)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235,439 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228,391 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($.13 per share)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(18,165)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(18,165)</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HEICO Savings and Investment Plan</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Proceeds from stock option exercises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Redemptions of common stock related to stock option exercises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assumed related to acquisitions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48,714 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(9,257)</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of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(18,170)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(28,831)</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redemption amount of redeemable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28,555 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(28,555)</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(28,555)</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July 31, 2026</w:t>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$617,893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$845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$728,827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($4,580)</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$4,222,045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$77,243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$5,024,932 </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tbl>
      <w:tblPr>
        <w:tblW w:w="13147" w:type="dxa"/>
        <w:jc w:val="center"/>
        <w:tblInd w:w="0" w:type="dxa"/>
        <w:tblLayout w:type="fixed"/>
        <w:tblCellMar>
          <w:top w:w="28" w:type="dxa"/>
          <w:left w:w="28" w:type="dxa"/>
          <w:bottom w:w="28" w:type="dxa"/>
          <w:right w:w="28" w:type="dxa"/>
        </w:tblCellMar>
      </w:tblPr>
      <w:tblGrid>
        <w:gridCol w:w="618"/>
        <w:gridCol w:w="201"/>
        <w:gridCol w:w="202"/>
        <w:gridCol w:w="351"/>
        <w:gridCol w:w="340"/>
        <w:gridCol w:w="341"/>
        <w:gridCol w:w="109"/>
        <w:gridCol w:w="109"/>
        <w:gridCol w:w="109"/>
        <w:gridCol w:w="226"/>
        <w:gridCol w:w="210"/>
        <w:gridCol w:w="211"/>
        <w:gridCol w:w="109"/>
        <w:gridCol w:w="109"/>
        <w:gridCol w:w="109"/>
        <w:gridCol w:w="226"/>
        <w:gridCol w:w="210"/>
        <w:gridCol w:w="211"/>
        <w:gridCol w:w="109"/>
        <w:gridCol w:w="109"/>
        <w:gridCol w:w="109"/>
        <w:gridCol w:w="506"/>
        <w:gridCol w:w="185"/>
        <w:gridCol w:w="186"/>
        <w:gridCol w:w="109"/>
        <w:gridCol w:w="109"/>
        <w:gridCol w:w="109"/>
        <w:gridCol w:w="320"/>
        <w:gridCol w:w="320"/>
        <w:gridCol w:w="321"/>
        <w:gridCol w:w="109"/>
        <w:gridCol w:w="109"/>
        <w:gridCol w:w="109"/>
        <w:gridCol w:w="286"/>
        <w:gridCol w:w="270"/>
        <w:gridCol w:w="271"/>
        <w:gridCol w:w="109"/>
        <w:gridCol w:w="109"/>
        <w:gridCol w:w="109"/>
        <w:gridCol w:w="340"/>
        <w:gridCol w:w="340"/>
        <w:gridCol w:w="341"/>
        <w:gridCol w:w="109"/>
        <w:gridCol w:w="109"/>
        <w:gridCol w:w="109"/>
        <w:gridCol w:w="404"/>
        <w:gridCol w:w="392"/>
        <w:gridCol w:w="221"/>
        <w:gridCol w:w="109"/>
        <w:gridCol w:w="109"/>
        <w:gridCol w:w="109"/>
        <w:gridCol w:w="340"/>
        <w:gridCol w:w="340"/>
        <w:gridCol w:w="341"/>
        <w:gridCol w:w="109"/>
        <w:gridCol w:w="109"/>
        <w:gridCol w:w="109"/>
        <w:gridCol w:w="521"/>
        <w:gridCol w:w="275"/>
        <w:gridCol w:w="337"/>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 in 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Deferred Compensation Obligation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HEICO Stock Held by Irrevocable Trust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April 30, 2025</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$436,471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$637,981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$3,328,591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$67,756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$4,035,307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Comprehensive income</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177,341 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182,145 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Cash dividends ($.12 per share)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(16,696)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(16,696)</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Issuance of common stock to HEICO Savings and Investment Plan</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Proceeds from stock option exercises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Redemptions of common stock related to stock option exercises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assumed related to acquisitions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w:t>
            </w:r>
          </w:p>
        </w:tc>
        <w:tc>
          <w:tcPr>
            <w:tcW w:w="3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Acquisitions of noncontrolling interests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(1,568)</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Adjustments to redemption amount of redeemable noncontrolling interests</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(3,685)</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as of July 31, 2025</w:t>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$437,587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$650,314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 </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($7,272)</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$3,488,777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$71,087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$4,212,453 </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52195"/>
                <wp:effectExtent l="0" t="0" r="0" b="0"/>
                <wp:wrapNone/>
                <wp:docPr id="7" name="Frame7"/>
                <a:graphic xmlns:a="http://schemas.openxmlformats.org/drawingml/2006/main">
                  <a:graphicData uri="http://schemas.microsoft.com/office/word/2010/wordprocessingShape">
                    <wps:wsp>
                      <wps:cNvSpPr txBox="1"/>
                      <wps:spPr>
                        <a:xfrm>
                          <a:off x="0" y="0"/>
                          <a:ext cx="6480175" cy="105219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HEICO CORPORATION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 UNAUDITED</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647"/>
        <w:gridCol w:w="2195"/>
        <w:gridCol w:w="2208"/>
        <w:gridCol w:w="645"/>
        <w:gridCol w:w="388"/>
        <w:gridCol w:w="219"/>
        <w:gridCol w:w="219"/>
        <w:gridCol w:w="219"/>
        <w:gridCol w:w="219"/>
        <w:gridCol w:w="582"/>
        <w:gridCol w:w="349"/>
        <w:gridCol w:w="315"/>
      </w:tblGrid>
      <w:tr>
        <w:trPr/>
        <w:tc>
          <w:tcPr>
            <w:tcW w:w="264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consolidated operations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$542,769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from consolidated operations to net cash provided by operating activities: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 to HEICO Savings and Investment Plan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accrued contingent consideration, net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(28,789)</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contract assets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inventories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prepaid expenses and other current assets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trade accounts payable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accrued expenses and other current liabilities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income taxes payable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changes in other long-term liabilities and assets related to </w:t>
              <w:br/>
              <w:t>   HEICO Leadership Compensation Plan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815,906 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638,940 </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(1,018,164)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(629,928)</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related to HEICO Leadership Compensation Plan </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(21,689)</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corporate-owned life insurance policy withdrawals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(1,072,869)</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(697,694)</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unsecured notes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1,191,506 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(1,845,700)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revolving credit facility</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noncontrolling interests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Redemptions of common stock related to stock option exercises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155,249 </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162,103 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10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$240,959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$261,888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HEICO CORPORATION AND SUBSIDIARIES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Basis of Presentation</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accompanying unaudited condensed consolidated financial statements of HEICO Corporation and its subsidiaries (collectively, “HEICO,” or the “Company”) have been prepared in conformity with accounting principles generally accepted in the United States of America for interim financial information and in accordance with the instructions to Form 10-Q. Therefore, the condensed consolidated financial statements do not include all information and footnotes normally included in annual consolidated financial statements and should be read in conjunction with the consolidated financial statements and notes thereto included in the Company’s Annual Report on Form 10-K for the year ended October 31, 2025. The October 31, 2025 Condensed Consolidated Balance Sheet has been derived from the Company’s audited consolidated financial statements. In the opinion of management, the unaudited condensed consolidated financial statements contain all adjustments (consisting principally of normal recurring accruals) necessary for a fair presentation of the condensed consolidated balance sheets, statements of operations, statements of comprehensive income, statements of shareholders' equity and statements of cash flows for such interim periods presented. The results of operations for the nine months ended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31, 2026 are not necessarily indicative of the results which may be expected for the entire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fiscal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has two operating segments: the Flight Support Group (“FSG”), consisting of HEICO Aerospace Holdings Corp. and HEICO Flight Support Corp. ("HFSC") and their respective subsidiaries; and the Electronic Technologies Group (“ETG”), consisting of HEICO Electronic Technologies Corp. ("HEICO Electronic") and its subsidiaries.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December 2023, the FASB issued ASU 2023-09, “Income Taxes (Topic 740): Improvements to Income Tax Disclosures,” which requires disclosure of specific categories in the annual effective tax rate reconciliation table and further disaggregation for reconciling items that meet a quantitative threshold. The ASU also requires the disaggregation of income taxes paid by jurisdiction. ASU 2023-09 may be applied either prospectively or retrospectively and is effective for fiscal years beginning after December 15, 2024, or in fiscal 2026 for HEICO. Early adoption is permitted. The adoption of this guidance will not affect the Company's consolidated results of operations, financial position or cash flows and the Company is currently evaluating the effect the guidance will have on its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November 2024, the FASB issued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intangible asset amortization, and depreciation) included in certain expense captions presented on the face of the income statement (such as cost of sales and selling, general and administrative "SG&amp;A" expenses). ASU 2024-03 is effective for fiscal years beginning after December 15, 2026, or in fiscal 2028 for HEICO, and interim reporting periods within fiscal years beginning one year later. Early adoption is permitted. The adoption of this guidance will not affect the Company's consolidated results of operations, financial position or cash flows and the Company is currently evaluating the effect the guidance will have on its disclosures.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January 2026, the Company, through HEICO Electronic, acquired 100% of the equity of Axillon Aerospace’s Fuel Containment Business, which following the acquisition, was renamed Rockmart Fuel Containment, LLC (“Rockmart”). Rockmart designs and manufactures advanced fuel containment solutions, primarily for military fixed- and rotary-wing aircraft.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February 2026, the Company, through a subsidiary of HFSC, acquired 100% of the membership interests of EthosEnergy Accessories and Components, LLC and 100% of the stock of EthosEnergy Accessories and Components, Limited (collectively, “Ethos”). Ethos provides repair solutions for engine components and accessories for various aeroderivative, aerospace, and defense engine platforms. The purchase price of this acquisition was paid with a combination of cash, using proceeds from the Company's revolving credit facility, and through the issuance of 95,483 shares of HEICO Class A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April 2026, the Company, through a subsidiary of HFSC, acquired 80% of the stock of Sherwood Avionics and Accessories, Inc. (“Sherwood”). Sherwood is an FAA and EASA Part 145 repair station specializing in the maintenance, repair and overhaul of complex, mission-critical mechanical and electro-mechanical components for defense and select commercial aviation platforms. The remaining 20% interest will continue to be owned by certain members of Sherwood's management team. See Note 3, Selected Financial Statement Information - Redeemable Noncontrolling Interests, for additional information. The purchase price of this acquisition was paid with a combination of cash, using proceeds from the Company's revolving credit facility, and through the issuance of 86,474 shares of HEICO Class A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April 2026, the Company, through a subsidiary of HEICO Electronic, acquired 90% of the stock of Southwest Antennas, Inc. (“SWA”). SWA designs and manufactures high-performance rugged and mission-critical antennas primarily for ground-based defense and law enforcement applications. The remaining 10% interest will continue to be owned by a member of SWA's management team. See Note 3, Selected Financial Statement Information - Redeemable Noncontrolling Interests, for additional information. The total consideration includes an accrual of $2.7 million as of the acquisition date representing the estimated fair value of contingent consideration the Company may be obligated to pay should SWA meet a certain earnings objective following the acquisition. See Note 8, Fair Value Measurements, for additional information regarding the Company's contingent consideration obligation.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June 2026, the Company, through an 80%-owned subsidiary of HFSC in which William Cook Holdings Limited holds a 20% ownership interest, acquired 100% of the stock of Cook Defence Systems Limited, William Cook Stanhope Limited and William Cook Intermodal Limited (collectively, “Cook Defence”). Cook Defence designs and manufactures track systems, mobility solutions, and armored steel components for military fighting vehicles. See Note 3, Selected Financial Statement Information - Redeemable Noncontrolling Interests,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June 2026, the Company, through a subsidiary of HEICO Electronic, acquired 90% of the membership interests of CalRamic Technologies LLC ("CalRamic"). CalRamic designs and manufactures high-voltage ceramic capacitors for high-reliability applications, primarily serving the aerospace and defense markets, as well as select industrial niches. The remaining 10% interest will continue to be owned by a member of CalRamic's management team. See Note 3, Selected Financial Statement Information - Redeemable Noncontrolling Interests, for additional information. The purchase price of this acquisition was paid in cash using cash provided by operating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otherwise noted, the purchase price of each of the aforementioned acquisitions was paid in cash, principally using proceeds from the Company's revolving credit facility, and is not material or significant to the Company's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 summarizes the aggregate total consideration for the Company's fiscal 2026 acquisitions (in thousands):</w:t>
      </w:r>
    </w:p>
    <w:tbl>
      <w:tblPr>
        <w:tblW w:w="5524" w:type="dxa"/>
        <w:jc w:val="left"/>
        <w:tblInd w:w="0" w:type="dxa"/>
        <w:tblLayout w:type="fixed"/>
        <w:tblCellMar>
          <w:top w:w="28" w:type="dxa"/>
          <w:left w:w="28" w:type="dxa"/>
          <w:bottom w:w="28" w:type="dxa"/>
          <w:right w:w="28" w:type="dxa"/>
        </w:tblCellMar>
      </w:tblPr>
      <w:tblGrid>
        <w:gridCol w:w="1494"/>
        <w:gridCol w:w="1311"/>
        <w:gridCol w:w="1319"/>
        <w:gridCol w:w="623"/>
        <w:gridCol w:w="623"/>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Cash paid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$1,031,258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Less: cash acquired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Cash paid, net </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1,020,936 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Issuance of common stock for acquisitions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Contingent consideration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Amounts due from sellers,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Total consideration </w:t>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$1,051,638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 summarizes the allocation of the aggregate total consideration for the Company's fiscal 2026 acquisitions to the estimated fair values of the tangible and identifiable intangible assets acquired and liabilities and noncontrolling interests assumed (in thousands):</w:t>
      </w:r>
    </w:p>
    <w:tbl>
      <w:tblPr>
        <w:tblW w:w="6470" w:type="dxa"/>
        <w:jc w:val="left"/>
        <w:tblInd w:w="0" w:type="dxa"/>
        <w:tblLayout w:type="fixed"/>
        <w:tblCellMar>
          <w:top w:w="28" w:type="dxa"/>
          <w:left w:w="28" w:type="dxa"/>
          <w:bottom w:w="28" w:type="dxa"/>
          <w:right w:w="28" w:type="dxa"/>
        </w:tblCellMar>
      </w:tblPr>
      <w:tblGrid>
        <w:gridCol w:w="1837"/>
        <w:gridCol w:w="1611"/>
        <w:gridCol w:w="1622"/>
        <w:gridCol w:w="623"/>
        <w:gridCol w:w="623"/>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Assets acquired:</w:t>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Goodwill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$705,253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Customer relationships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233,260 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Intellectual property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Trade names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assets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assets acquired, excluding cash </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1,305,816 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Liabilities assumed:</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Accrued expenses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liabilities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liabilities assumed </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150,768 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Noncontrolling interests in consolidated subsidiaries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assets acquired, excluding cash</w:t>
            </w:r>
          </w:p>
        </w:tc>
        <w:tc>
          <w:tcPr>
            <w:tcW w:w="12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$1,051,638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allocation of the total consideration for the fiscal 2026 acquisitions to the tangible and identifiable intangible assets acquired and liabilities and noncontrolling interests assumed is preliminary until the Company obtains final information regarding their fair values. However, the Company does not expect any adjustment to such allocation to be material to the Company's consolidated financial statements. The primary items that generated the goodwill recognized were the premiums paid by the Company for the future earnings potential of the businesses acquired and the value of their assembled workforces that do not qualify for separate recognition, which, in the case of Sherwood, SWA, Cook Defence, and CalRamic, benefit both the Company and the noncontrolling interest holders. The fair value of the noncontrolling interests in these entities was determined based on the consideration paid by the Company for its controlling ownership interests, which the Company concluded represented the best estimate of fair value. The weighted-average amortization periods of the customer relationships, intellectual property, and trade names acquired are 12 years, 15 years, and indefinite, respectively.</w:t>
      </w:r>
    </w:p>
    <w:p>
      <w:pPr>
        <w:pStyle w:val="TextBody"/>
        <w:bidi w:val="0"/>
        <w:spacing w:before="100" w:after="283"/>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operating results of the fiscal 2026 acquisitions were included in the Company's results of operations as of each effective acquisition date. Net sales of the fiscal 2026 acquisitions included in the Condensed Consolidated Statement of Operations for the nine and three months ended July 31, 2026 were $133.5 million and $83.9 million, respectively. The amount of earnings of the fiscal 2026 acquisitions included in the Condensed Consolidated Statement of Operations for the nine and three months ended July 31, 2026 is not material. Had the fiscal 2026 acquisitions occurred as of November 1, 2024, net sales on a pro forma basis for the nine and three months ended July 31, 2026 would have been $4,099.1 million and $1,418.7 million, respectively, and pro forma net income from consolidated operations, net income attributable to HEICO, and basic and diluted net income per share attributable to HEICO shareholders for the nine and three months ended July 31, 2026 would not have been materially different than the reported amounts. Had the fiscal 2026 acquisitions occurred as of November 1, 2024, net sales on a pro forma basis for the nine and three months ended July 31, 2025 would have been $3,520.7 million and $1,233.1 million, respectively, and pro forma net income from consolidated operations, net income attributable to HEICO, and basic and diluted net income per share attributable to HEICO shareholders for the nine and three months ended July 31, 2025 would not have been materially different than the reported amounts.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3.     SELECTED FINANCIAL STATEMENT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Accounts Receivable</w:t>
      </w:r>
    </w:p>
    <w:tbl>
      <w:tblPr>
        <w:tblW w:w="7793" w:type="dxa"/>
        <w:jc w:val="center"/>
        <w:tblInd w:w="0" w:type="dxa"/>
        <w:tblLayout w:type="fixed"/>
        <w:tblCellMar>
          <w:top w:w="28" w:type="dxa"/>
          <w:left w:w="28" w:type="dxa"/>
          <w:bottom w:w="28" w:type="dxa"/>
          <w:right w:w="28" w:type="dxa"/>
        </w:tblCellMar>
      </w:tblPr>
      <w:tblGrid>
        <w:gridCol w:w="1353"/>
        <w:gridCol w:w="1188"/>
        <w:gridCol w:w="1194"/>
        <w:gridCol w:w="109"/>
        <w:gridCol w:w="109"/>
        <w:gridCol w:w="109"/>
        <w:gridCol w:w="536"/>
        <w:gridCol w:w="530"/>
        <w:gridCol w:w="478"/>
        <w:gridCol w:w="109"/>
        <w:gridCol w:w="109"/>
        <w:gridCol w:w="109"/>
        <w:gridCol w:w="540"/>
        <w:gridCol w:w="540"/>
        <w:gridCol w:w="780"/>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3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$748,601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$647,864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(12,266)</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(10,249)</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$736,335 </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$637,615 </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Inventories</w:t>
      </w:r>
    </w:p>
    <w:tbl>
      <w:tblPr>
        <w:tblW w:w="8304" w:type="dxa"/>
        <w:jc w:val="center"/>
        <w:tblInd w:w="0" w:type="dxa"/>
        <w:tblLayout w:type="fixed"/>
        <w:tblCellMar>
          <w:top w:w="28" w:type="dxa"/>
          <w:left w:w="28" w:type="dxa"/>
          <w:bottom w:w="28" w:type="dxa"/>
          <w:right w:w="28" w:type="dxa"/>
        </w:tblCellMar>
      </w:tblPr>
      <w:tblGrid>
        <w:gridCol w:w="1412"/>
        <w:gridCol w:w="1242"/>
        <w:gridCol w:w="1246"/>
        <w:gridCol w:w="109"/>
        <w:gridCol w:w="109"/>
        <w:gridCol w:w="109"/>
        <w:gridCol w:w="626"/>
        <w:gridCol w:w="620"/>
        <w:gridCol w:w="478"/>
        <w:gridCol w:w="109"/>
        <w:gridCol w:w="109"/>
        <w:gridCol w:w="109"/>
        <w:gridCol w:w="631"/>
        <w:gridCol w:w="615"/>
        <w:gridCol w:w="780"/>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3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$778,706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$715,286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Work in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142,801 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119,611 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Materials, parts, assemblies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526,378 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460,439 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Inventories, net of valuation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$1,447,885 </w:t>
            </w:r>
          </w:p>
        </w:tc>
        <w:tc>
          <w:tcPr>
            <w:tcW w:w="47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$1,295,336 </w:t>
            </w:r>
          </w:p>
        </w:tc>
        <w:tc>
          <w:tcPr>
            <w:tcW w:w="7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Property, Plant and Equipment</w:t>
      </w:r>
    </w:p>
    <w:tbl>
      <w:tblPr>
        <w:tblW w:w="8813" w:type="dxa"/>
        <w:jc w:val="center"/>
        <w:tblInd w:w="0" w:type="dxa"/>
        <w:tblLayout w:type="fixed"/>
        <w:tblCellMar>
          <w:top w:w="28" w:type="dxa"/>
          <w:left w:w="28" w:type="dxa"/>
          <w:bottom w:w="28" w:type="dxa"/>
          <w:right w:w="28" w:type="dxa"/>
        </w:tblCellMar>
      </w:tblPr>
      <w:tblGrid>
        <w:gridCol w:w="1721"/>
        <w:gridCol w:w="1513"/>
        <w:gridCol w:w="1521"/>
        <w:gridCol w:w="109"/>
        <w:gridCol w:w="109"/>
        <w:gridCol w:w="109"/>
        <w:gridCol w:w="532"/>
        <w:gridCol w:w="534"/>
        <w:gridCol w:w="478"/>
        <w:gridCol w:w="109"/>
        <w:gridCol w:w="109"/>
        <w:gridCol w:w="109"/>
        <w:gridCol w:w="540"/>
        <w:gridCol w:w="540"/>
        <w:gridCol w:w="780"/>
      </w:tblGrid>
      <w:tr>
        <w:trPr/>
        <w:tc>
          <w:tcPr>
            <w:tcW w:w="172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4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$97,294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$85,134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Buildings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269,408 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255,776 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Machinery, equipment and tooling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529,486 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476,735 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31,454 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21,812 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927,642 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839,457 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Accumulated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(449,316)</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(407,747)</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$478,326 </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$431,710 </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Accrued Customer Rebates and Credits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aggregate amount of accrued customer rebates and credits included within accrued expenses and other current liabilities in the accompanying Condensed Consolidated Balance Sheets was $36.3 million as of July 31, 2026 and $30.7 million as of October 31, 2025. The total customer rebates and credits deducted within net sales for the nine months ended July 31, 2026 and 2025 was $20.2 million and $12.8 million, respectively. The total customer rebates and credits deducted within net sales for the three months ended July 31, 2026 and 2025 was $9.3 million and $4.9 million,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Research and Development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amount of new product research and development ("R&amp;D") expenses included in cost of sales is as follows (in thousands):</w:t>
      </w:r>
    </w:p>
    <w:tbl>
      <w:tblPr>
        <w:tblW w:w="9015" w:type="dxa"/>
        <w:jc w:val="center"/>
        <w:tblInd w:w="0" w:type="dxa"/>
        <w:tblLayout w:type="fixed"/>
        <w:tblCellMar>
          <w:top w:w="28" w:type="dxa"/>
          <w:left w:w="28" w:type="dxa"/>
          <w:bottom w:w="28" w:type="dxa"/>
          <w:right w:w="28" w:type="dxa"/>
        </w:tblCellMar>
      </w:tblPr>
      <w:tblGrid>
        <w:gridCol w:w="553"/>
        <w:gridCol w:w="487"/>
        <w:gridCol w:w="489"/>
        <w:gridCol w:w="692"/>
        <w:gridCol w:w="374"/>
        <w:gridCol w:w="310"/>
        <w:gridCol w:w="310"/>
        <w:gridCol w:w="310"/>
        <w:gridCol w:w="310"/>
        <w:gridCol w:w="614"/>
        <w:gridCol w:w="332"/>
        <w:gridCol w:w="310"/>
        <w:gridCol w:w="109"/>
        <w:gridCol w:w="109"/>
        <w:gridCol w:w="109"/>
        <w:gridCol w:w="624"/>
        <w:gridCol w:w="322"/>
        <w:gridCol w:w="315"/>
        <w:gridCol w:w="315"/>
        <w:gridCol w:w="315"/>
        <w:gridCol w:w="315"/>
        <w:gridCol w:w="624"/>
        <w:gridCol w:w="322"/>
        <w:gridCol w:w="445"/>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July 31,</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R&amp;D expenses</w:t>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$104,460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$88,275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$36,097 </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$31,929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Redeemable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holders of equity interests in certain of the Company's subsidiaries have rights ("Put Rights") that may be exercised on varying dates causing the Company to purchase their equity interests through fiscal 2036. The Put Rights, all of which relate either to common shares or membership interests in limited liability companies, provide that the cash consideration to be paid for their equity interests (the "Redemption Amount") be at fair value or a formula that management intended to reasonably approximate fair value based solely on a multiple of future earnings over a measurement period. Management's estimate of the aggregate Redemption Amount of all Put Rights that the Company could be required to pay is as follows (in thousands):</w:t>
      </w:r>
    </w:p>
    <w:tbl>
      <w:tblPr>
        <w:tblW w:w="8620" w:type="dxa"/>
        <w:jc w:val="center"/>
        <w:tblInd w:w="0" w:type="dxa"/>
        <w:tblLayout w:type="fixed"/>
        <w:tblCellMar>
          <w:top w:w="28" w:type="dxa"/>
          <w:left w:w="28" w:type="dxa"/>
          <w:bottom w:w="28" w:type="dxa"/>
          <w:right w:w="28" w:type="dxa"/>
        </w:tblCellMar>
      </w:tblPr>
      <w:tblGrid>
        <w:gridCol w:w="1770"/>
        <w:gridCol w:w="1556"/>
        <w:gridCol w:w="1563"/>
        <w:gridCol w:w="536"/>
        <w:gridCol w:w="530"/>
        <w:gridCol w:w="478"/>
        <w:gridCol w:w="109"/>
        <w:gridCol w:w="109"/>
        <w:gridCol w:w="109"/>
        <w:gridCol w:w="540"/>
        <w:gridCol w:w="540"/>
        <w:gridCol w:w="780"/>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Redeemable at fair value </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$514,882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$356,850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Redeemable based on a multiple of future earnings</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103,011 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110,508 </w:t>
            </w:r>
          </w:p>
        </w:tc>
        <w:tc>
          <w:tcPr>
            <w:tcW w:w="7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Redeemable noncontrolling interests</w:t>
            </w:r>
          </w:p>
        </w:tc>
        <w:tc>
          <w:tcPr>
            <w:tcW w:w="10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$617,893 </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$467,358 </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fiscal 2022, the holder of a 19.9% noncontrolling equity interest in a subsidiary of HFSC that was acquired in fiscal 2015 exercised their option to cause the Company to purchase their noncontrolling interest over a four-year period ending in fiscal 2026. Accordingly, the Company acquired the remaining equity interest in December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fiscal 2024, the holders of a 15% noncontrolling equity interest in a subsidiary of the ETG that was acquired in fiscal 2019 exercised their option to cause the Company to purchase their noncontrolling interest over a four-year period ending in fiscal 2027. In March 2026, the Company acquired an additional one-fourth of such interest, which increased the Company's ownership interest in the subsidiary to 96.25%.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discussed in Note 2, Acquisitions, the Company, through a subsidiary of HFSC, acquired 80% of the stock of Sherwood in April 2026. As part of the shareholders' agreement, the noncontrolling interest holders have the right to cause the Company to purchase their equity interest over a four-year period beginning in fiscal 2031, or sooner under certain conditions, and the Company has the right to purchase the same equity interest over the same period.</w:t>
      </w:r>
    </w:p>
    <w:p>
      <w:pPr>
        <w:pStyle w:val="TextBody"/>
        <w:bidi w:val="0"/>
        <w:spacing w:before="0" w:after="20"/>
        <w:ind w:left="0" w:right="0" w:firstLine="7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discussed in Note 2, Acquisitions, the Company, through a subsidiary of HEICO Electronic, acquired 90% of the stock of SWA in April 2026. As part of the shareholders' agreement, the noncontrolling interest holder has the right to cause the Company to purchase their equity interest over a four-year period beginning in fiscal 2033, or sooner under certain conditions, and the Company has the right to purchase the same equity interest over the same period.</w:t>
      </w:r>
    </w:p>
    <w:p>
      <w:pPr>
        <w:pStyle w:val="TextBody"/>
        <w:bidi w:val="0"/>
        <w:spacing w:before="0" w:after="2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fiscal 2025, the holder of a 19.9% noncontrolling equity interest in a subsidiary of HFSC that was acquired in fiscal 2006 exercised their option to cause the Company to purchase their noncontrolling interest over a four-year period ending in fiscal 2028. In April 2026, the Company acquired an additional one-fourth of such interest, which increased the Company's ownership interest in the subsidiary to 90.05%.</w:t>
      </w:r>
    </w:p>
    <w:p>
      <w:pPr>
        <w:pStyle w:val="TextBody"/>
        <w:bidi w:val="0"/>
        <w:spacing w:before="0" w:after="20"/>
        <w:ind w:left="0" w:right="0" w:firstLine="7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fiscal 2026, the holder of a 10% noncontrolling equity interest in a subsidiary of HEICO Electronic that was acquired in fiscal 2023 exercised its option to require the Company to purchase a portion of its noncontrolling interest. In April 2026, the Company acquired an additional 9% ownership interest, increasing the Company's ownership interest in the subsidiary to 99%.</w:t>
      </w:r>
    </w:p>
    <w:p>
      <w:pPr>
        <w:pStyle w:val="TextBody"/>
        <w:bidi w:val="0"/>
        <w:spacing w:before="0" w:after="20"/>
        <w:ind w:left="0" w:right="0" w:firstLine="7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discussed in Note 2, Acquisitions, the Company, through an 80%-owned subsidiary of HFSC, acquired 100% of the stock of Cook Defence in June 2026. As part of the shareholders' agreement, the noncontrolling interest holder has the right to cause the Company to purchase their equity interest over a four-year period beginning in fiscal 2031, or sooner under certain conditions, and the Company has the right to purchase the same equity interest over the same period.</w:t>
      </w:r>
    </w:p>
    <w:p>
      <w:pPr>
        <w:pStyle w:val="TextBody"/>
        <w:bidi w:val="0"/>
        <w:spacing w:before="0" w:after="20"/>
        <w:ind w:left="0" w:right="0" w:firstLine="7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discussed in Note 2, Acquisitions, the Company, through a subsidiary of HEICO Electronic, acquired 90% of the membership interests of CalRamic in June 2026. As part of the operating agreement, the noncontrolling interest holder has the right to cause the Company to purchase their membership interest beginning in fiscal 2032, or sooner under certain conditions, and the Company has the right to purchase the same membership interest over the same period.</w:t>
      </w:r>
    </w:p>
    <w:p>
      <w:pPr>
        <w:pStyle w:val="TextBody"/>
        <w:bidi w:val="0"/>
        <w:spacing w:before="0" w:after="20"/>
        <w:ind w:left="0" w:right="0" w:firstLine="720"/>
        <w:jc w:val="left"/>
        <w:rPr/>
      </w:pPr>
      <w:r>
        <w:rPr/>
      </w:r>
    </w:p>
    <w:p>
      <w:pPr>
        <w:pStyle w:val="TextBody"/>
        <w:bidi w:val="0"/>
        <w:spacing w:lineRule="auto" w:line="288" w:before="0" w:after="20"/>
        <w:jc w:val="left"/>
        <w:rPr>
          <w:rFonts w:ascii="Times New Roman;serif" w:hAnsi="Times New Roman;serif"/>
          <w:b/>
          <w:color w:val="000000"/>
          <w:sz w:val="24"/>
        </w:rPr>
      </w:pPr>
      <w:r>
        <w:rPr>
          <w:rFonts w:ascii="Times New Roman;serif" w:hAnsi="Times New Roman;serif"/>
          <w:b/>
          <w:color w:val="000000"/>
          <w:sz w:val="24"/>
        </w:rPr>
        <w:t>Accumulated Other Comprehensive (Loss) Income</w:t>
      </w:r>
    </w:p>
    <w:p>
      <w:pPr>
        <w:pStyle w:val="TextBody"/>
        <w:bidi w:val="0"/>
        <w:spacing w:before="0" w:after="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components of accumulated other comprehensive (loss) income for the nine months ended July 31, 2026 are as follows (in thousands):</w:t>
      </w:r>
    </w:p>
    <w:tbl>
      <w:tblPr>
        <w:tblW w:w="10205" w:type="dxa"/>
        <w:jc w:val="center"/>
        <w:tblInd w:w="0" w:type="dxa"/>
        <w:tblLayout w:type="fixed"/>
        <w:tblCellMar>
          <w:top w:w="28" w:type="dxa"/>
          <w:left w:w="28" w:type="dxa"/>
          <w:bottom w:w="28" w:type="dxa"/>
          <w:right w:w="28" w:type="dxa"/>
        </w:tblCellMar>
      </w:tblPr>
      <w:tblGrid>
        <w:gridCol w:w="970"/>
        <w:gridCol w:w="703"/>
        <w:gridCol w:w="706"/>
        <w:gridCol w:w="109"/>
        <w:gridCol w:w="109"/>
        <w:gridCol w:w="109"/>
        <w:gridCol w:w="762"/>
        <w:gridCol w:w="758"/>
        <w:gridCol w:w="759"/>
        <w:gridCol w:w="109"/>
        <w:gridCol w:w="109"/>
        <w:gridCol w:w="109"/>
        <w:gridCol w:w="710"/>
        <w:gridCol w:w="670"/>
        <w:gridCol w:w="672"/>
        <w:gridCol w:w="109"/>
        <w:gridCol w:w="109"/>
        <w:gridCol w:w="109"/>
        <w:gridCol w:w="735"/>
        <w:gridCol w:w="735"/>
        <w:gridCol w:w="1044"/>
      </w:tblGrid>
      <w:tr>
        <w:trPr/>
        <w:tc>
          <w:tcPr>
            <w:tcW w:w="97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Defined Benefit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Accumulated </w:t>
              <w:br/>
              <w:t>Other</w:t>
              <w:br/>
              <w:t xml:space="preserve">Comprehensive (Loss) Income </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$6,187 </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$5,581 </w:t>
            </w:r>
          </w:p>
        </w:tc>
        <w:tc>
          <w:tcPr>
            <w:tcW w:w="10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(10,161)</w:t>
            </w:r>
          </w:p>
        </w:tc>
        <w:tc>
          <w:tcPr>
            <w:tcW w:w="7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(10,176)</w:t>
            </w:r>
          </w:p>
        </w:tc>
        <w:tc>
          <w:tcPr>
            <w:tcW w:w="10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Amortization of unrealized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10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($3,974)</w:t>
            </w:r>
          </w:p>
        </w:tc>
        <w:tc>
          <w:tcPr>
            <w:tcW w:w="7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w:t>
            </w:r>
          </w:p>
        </w:tc>
        <w:tc>
          <w:tcPr>
            <w:tcW w:w="6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($4,580)</w:t>
            </w:r>
          </w:p>
        </w:tc>
        <w:tc>
          <w:tcPr>
            <w:tcW w:w="10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4.     GOODWILL AND OTHER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carrying amount of goodwill by operating segment for the nine months ended July 31, 2026 are as follows (in thousands):</w:t>
      </w:r>
    </w:p>
    <w:tbl>
      <w:tblPr>
        <w:tblW w:w="9571" w:type="dxa"/>
        <w:jc w:val="center"/>
        <w:tblInd w:w="0" w:type="dxa"/>
        <w:tblLayout w:type="fixed"/>
        <w:tblCellMar>
          <w:top w:w="28" w:type="dxa"/>
          <w:left w:w="28" w:type="dxa"/>
          <w:bottom w:w="28" w:type="dxa"/>
          <w:right w:w="28" w:type="dxa"/>
        </w:tblCellMar>
      </w:tblPr>
      <w:tblGrid>
        <w:gridCol w:w="1423"/>
        <w:gridCol w:w="1251"/>
        <w:gridCol w:w="1256"/>
        <w:gridCol w:w="623"/>
        <w:gridCol w:w="623"/>
        <w:gridCol w:w="181"/>
        <w:gridCol w:w="109"/>
        <w:gridCol w:w="109"/>
        <w:gridCol w:w="109"/>
        <w:gridCol w:w="623"/>
        <w:gridCol w:w="623"/>
        <w:gridCol w:w="196"/>
        <w:gridCol w:w="109"/>
        <w:gridCol w:w="109"/>
        <w:gridCol w:w="109"/>
        <w:gridCol w:w="623"/>
        <w:gridCol w:w="623"/>
        <w:gridCol w:w="872"/>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Consolidated Totals</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October 31, 2025</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$1,997,178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$1,664,446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$3,661,624 </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Goodwill acquired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393,225 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312,028 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705,253 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 to goodwill</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(6,346)</w:t>
            </w:r>
          </w:p>
        </w:tc>
        <w:tc>
          <w:tcPr>
            <w:tcW w:w="8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Foreign currency translation adjustments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(4,388)</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July 31, 2026</w:t>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$2,390,288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$1,965,855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$4,356,143 </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goodwill acquired pertains to the fiscal 2026 acquisitions described in Note 2, Acquisitions, and represents the residual value after the allocation of the total consideration to the tangible and identifiable intangible assets acquired and liabilities and noncontrolling interests assumed. The Company estimates that $172 million of the goodwill acquired in fiscal 2026 will be deductible for income tax purposes. Foreign currency translation adjustments are included in other comprehensive (loss) income in the Company's Condensed Consolidated Statements of Comprehensive Income. The adjustments to goodwill represent immaterial measurement period adjustments to the allocation of the purchase consideration of certain fiscal 2025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Identifiable intangible assets consist of the following (in thousands):</w:t>
      </w:r>
    </w:p>
    <w:tbl>
      <w:tblPr>
        <w:tblW w:w="11761" w:type="dxa"/>
        <w:jc w:val="center"/>
        <w:tblInd w:w="0" w:type="dxa"/>
        <w:tblLayout w:type="fixed"/>
        <w:tblCellMar>
          <w:top w:w="28" w:type="dxa"/>
          <w:left w:w="28" w:type="dxa"/>
          <w:bottom w:w="28" w:type="dxa"/>
          <w:right w:w="28" w:type="dxa"/>
        </w:tblCellMar>
      </w:tblPr>
      <w:tblGrid>
        <w:gridCol w:w="723"/>
        <w:gridCol w:w="397"/>
        <w:gridCol w:w="336"/>
        <w:gridCol w:w="109"/>
        <w:gridCol w:w="109"/>
        <w:gridCol w:w="109"/>
        <w:gridCol w:w="719"/>
        <w:gridCol w:w="362"/>
        <w:gridCol w:w="301"/>
        <w:gridCol w:w="109"/>
        <w:gridCol w:w="109"/>
        <w:gridCol w:w="109"/>
        <w:gridCol w:w="531"/>
        <w:gridCol w:w="415"/>
        <w:gridCol w:w="416"/>
        <w:gridCol w:w="109"/>
        <w:gridCol w:w="109"/>
        <w:gridCol w:w="109"/>
        <w:gridCol w:w="649"/>
        <w:gridCol w:w="432"/>
        <w:gridCol w:w="301"/>
        <w:gridCol w:w="109"/>
        <w:gridCol w:w="109"/>
        <w:gridCol w:w="109"/>
        <w:gridCol w:w="719"/>
        <w:gridCol w:w="362"/>
        <w:gridCol w:w="301"/>
        <w:gridCol w:w="109"/>
        <w:gridCol w:w="109"/>
        <w:gridCol w:w="109"/>
        <w:gridCol w:w="531"/>
        <w:gridCol w:w="415"/>
        <w:gridCol w:w="416"/>
        <w:gridCol w:w="109"/>
        <w:gridCol w:w="109"/>
        <w:gridCol w:w="109"/>
        <w:gridCol w:w="584"/>
        <w:gridCol w:w="497"/>
        <w:gridCol w:w="392"/>
      </w:tblGrid>
      <w:tr>
        <w:trPr/>
        <w:tc>
          <w:tcPr>
            <w:tcW w:w="7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October 31, 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$1,356,362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($450,710)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$905,652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$758,343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(188,422)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(153,783)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387,053 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2,057,191 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(643,990)</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1,413,201 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1,680,930 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(535,010)</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1,145,920 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Non-Amortizing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325,520 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$2,420,932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($643,990)</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$1,776,942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$2,006,450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($535,010)</w:t>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$1,471,440 </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increase in the gross carrying amount of customer relationships, intellectual property, and trade names as of July 31, 2026 compared to October 31, 2025 principally relates to such intangible assets recognized in connection with the fiscal 2026 acquisitions (see Note 2,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Amortization expense related to intangible assets for the nine months ended July 31, 2026 and 2025 was $120.0 million and $101.7 million, respectively. Amortization expense related to intangible assets for the three months ended July 31, 2026 and 2025 was $43.3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$34.7 million, respectively. Amortization expense related to intangible assets for the remainder of fiscal 2026 is estimated to be $43.6 million. Amortization expense for each of the next five fiscal years and thereafter is estimated to be $170.8 million in fiscal 2027, $163.7 million in fiscal 2028, $156.9 million in fiscal 2029, $149.0 million in fiscal 2030, $138.0 million in fiscal 2031, and $591.2 million thereafter.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5.     LONG-TERM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Long-term debt consists of the following (in thousands):</w:t>
      </w:r>
    </w:p>
    <w:tbl>
      <w:tblPr>
        <w:tblW w:w="8619" w:type="dxa"/>
        <w:jc w:val="center"/>
        <w:tblInd w:w="0" w:type="dxa"/>
        <w:tblLayout w:type="fixed"/>
        <w:tblCellMar>
          <w:top w:w="28" w:type="dxa"/>
          <w:left w:w="28" w:type="dxa"/>
          <w:bottom w:w="28" w:type="dxa"/>
          <w:right w:w="28" w:type="dxa"/>
        </w:tblCellMar>
      </w:tblPr>
      <w:tblGrid>
        <w:gridCol w:w="1525"/>
        <w:gridCol w:w="1342"/>
        <w:gridCol w:w="1348"/>
        <w:gridCol w:w="109"/>
        <w:gridCol w:w="109"/>
        <w:gridCol w:w="109"/>
        <w:gridCol w:w="626"/>
        <w:gridCol w:w="620"/>
        <w:gridCol w:w="478"/>
        <w:gridCol w:w="109"/>
        <w:gridCol w:w="109"/>
        <w:gridCol w:w="109"/>
        <w:gridCol w:w="630"/>
        <w:gridCol w:w="616"/>
        <w:gridCol w:w="780"/>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$145,000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$960,000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2028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2031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550,000 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2033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600,000 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2036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650,000 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Finance leases and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15,838 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17,890 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Debt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(19,665)</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(9,945)</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2,541,173 </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2,167,945 </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(3,513)</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(3,358)</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debt,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$2,537,660 </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$2,164,587 </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borrowings under its revolving credit facility mature in fiscal 2031. As of July 31, 2026 and October 31, 2025, the weighted average interest rate on borrowings under the Company's revolving credit facility ("Credit Facility") was 4.6% and 5.3%, respectively. The Credit Facility contains both financial and non-financial covenants. As of July 31, 2026, the Company was in compliance with all such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June 11, 2026, the Company entered into a fourth amendment to its Credit Facility, to, among other things, (i) increase the capacity by $200 million to $2.2 billion, (ii) extend the maturity date to June 11, 2031, (iii) modify the Applicable Rate to be calculated based upon the most recently published ratings for the Company’s senior unsecured, non-credit enhanced, long-term indebtedness for borrowed money, and (iv) release the Company’s subsidiary guarantors from their guarantees under the Credit Facility. The Credit Facility includes features that will allow the Company, subject to certain conditions, to (i) increase the capacity by $800 million to become a $3.0 billion facility through increased commitments from existing and/or additional lenders and (ii) request up to two one-year extensions of the maturity date.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a result of the release of the Company's subsidiary guarantors from their guarantees under the Credit Facility, each respective subsidiary guarantor was also automatically released from such subsidiary's guarantee of the Company’s obligations under the securities issued under the Company’s Indenture dated July 27, 2023 and First Supplemental Indenture, dated July 27, 2023, being the Company’s outstanding 2028 Notes (as defined below) and 2033 Notes (as defined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may elect for borrowings under the Credit Facility to accrue interest at Term SOFR for the elected interest period, or a Base Rate, plus in each case, the Applicable Rate (based on the Company’s Index Debt Rating). Term SOFR shall never be less than 0%. The Base Rate for any day is a fluctuating rate per annum equal to the highest of (i) the rate of interest in effect for such day as publicly announced from time to time by Truist Bank as its prime lending rate; (ii) the Federal Funds Rate plus 0.50%; and (iii) Term SOFR for an Interest Period of one month plus 100 basis points; provided that the Base Rate shall never be less than 0%. The Applicable Rate for SOFR Loans ranges from 0.75% to 1.250%. The Applicable Rate for Base Rate Loans ranges from 0.0% to 0.25%. A fee is charged on the amount of the unused commitment ranging from 0.09% to 0.20%. In addition, the Company may also elect for borrowings under the Credit Facility to accrue interest at Daily Simple RFR plus the Applicable Rate for RFR Loans, or the SOFR Index Rate plus the Applicable Rate for SOFR Loans. Eurocurrency Rate Loans accrue interest at the Adjusted Eurocurrency Rate for the elected interest period plus the Applicable Rate for Eurocurrency Rate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Credit Facility also includes a $200 million sublimit for swingline borrowings, a $200 million sublimit for letters of credit and a $100 million sublimit for borrowings made in foreign currencies. Outstanding principal, accrued and unpaid interest and other amounts payable under the Credit Facility may be accelerated upon an event of default, as such events are described in the Credit Facility. The Credit Facility is unsecured and contains covenants that require, among other things, the maintenance of a Total Leverage Ratio. As used in this paragraph and the three immediately preceding paragraphs, capitalized terms shall have the meanings ascribed to them in the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incurred $3.2 million of debt issuance costs related to the fourth amendment of the Credit Facility, which were classified as other assets in the Company's Condensed Consolidated Balance Sheet and are being amortized to interest expense over the remaining term of the Credit Facility.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Senior Unsecured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 July 16, 2026, the Company completed the public offering of $550 million aggregate principal amount of 4.950% Senior Notes due August 1, 2031 (the "2031 Notes") and $650 million aggregate principal amount of 5.400% Senior Notes due August 1, 2036 (the "2036 Notes"). The Company used the net proceeds from the offering to repay outstanding borrowings under its Credit Facility. The 2031 Notes and 2036 Notes were issued pursuant to an indenture, dated July 16, 2026, between the Company and Truist Bank, as trustee. Interest on the 2031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Notes and 2036 Notes is payable semi-annually on February 1 and August 1 of each year, commencing February 1, 2027.</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2031 Notes and 2036 Notes are senior unsecured obligations of the Company and rank equally in right of payment with the Company's existing and future senior unsecured indebtedness. The 2031 Notes and 2036 Notes are redeemable at the Company's option prior to the applicable par call date at the redemption prices specified in the indenture and thereafter at a redemption price equal to 100% of the principal amount plus accrued and unpaid interest. Upon the occurrence of a change of control triggering event, the Company may be required to offer to repurchase the 2031 Notes and 2036 Notes at a purchase price equal to 101% of the principal amount plus accrued and unpaid interest. The indenture contains customary covenants and events of default.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received net proceeds of $1,191.5 million, net of debt discounts and underwriting fees. In addition, the Company incurred $2.7 million of debt issuance costs related to the offering. The aggregate unamortized debt discount and debt issuance costs of $11.1 million are presented as a direct deduction from long-term debt in the Company's Condensed Consolidated Balance Sheet and are amortized to interest expense over the respective terms of the 2031 Notes and 2036 Notes using the effective interest method.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senior unsecured notes consist of $600 million aggregate principal amount of 5.25% Senior Notes due August 1, 2028 (the "2028 Notes"), the 2031 Notes, $600 million aggregate principal amount of 5.35% Senior Notes due August 1, 2033 (the "2033 Notes"), and the 2036 Notes (collectively, the "Notes"). The 2028 Notes, 2033 Notes, and 2036 Notes each have an effective interest rate of 5.5%, and the 2031 Notes have an effective interest rate of 5.2%. As of July 31, 2026, the Company was in compliance with all covenants related to the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 sets forth the carrying value and estimated fair value of the Company’s Notes, which are classified as Level 1 financial instruments in the fair value hierarchy (in thousands). The Company estimated the fair value of the Notes by taking the weighted average of market quotes for the exact security that was actively traded on July 31, 2026 and October 31, 2025.</w:t>
      </w:r>
    </w:p>
    <w:p>
      <w:pPr>
        <w:pStyle w:val="TextBody"/>
        <w:bidi w:val="0"/>
        <w:spacing w:before="0" w:after="0"/>
        <w:ind w:left="0" w:right="0" w:firstLine="720"/>
        <w:jc w:val="left"/>
        <w:rPr/>
      </w:pPr>
      <w:r>
        <w:rPr/>
      </w:r>
    </w:p>
    <w:tbl>
      <w:tblPr>
        <w:tblW w:w="9992" w:type="dxa"/>
        <w:jc w:val="left"/>
        <w:tblInd w:w="0" w:type="dxa"/>
        <w:tblLayout w:type="fixed"/>
        <w:tblCellMar>
          <w:top w:w="28" w:type="dxa"/>
          <w:left w:w="28" w:type="dxa"/>
          <w:bottom w:w="28" w:type="dxa"/>
          <w:right w:w="28" w:type="dxa"/>
        </w:tblCellMar>
      </w:tblPr>
      <w:tblGrid>
        <w:gridCol w:w="456"/>
        <w:gridCol w:w="400"/>
        <w:gridCol w:w="404"/>
        <w:gridCol w:w="641"/>
        <w:gridCol w:w="605"/>
        <w:gridCol w:w="551"/>
        <w:gridCol w:w="221"/>
        <w:gridCol w:w="221"/>
        <w:gridCol w:w="221"/>
        <w:gridCol w:w="623"/>
        <w:gridCol w:w="623"/>
        <w:gridCol w:w="386"/>
        <w:gridCol w:w="109"/>
        <w:gridCol w:w="109"/>
        <w:gridCol w:w="109"/>
        <w:gridCol w:w="641"/>
        <w:gridCol w:w="605"/>
        <w:gridCol w:w="551"/>
        <w:gridCol w:w="258"/>
        <w:gridCol w:w="258"/>
        <w:gridCol w:w="258"/>
        <w:gridCol w:w="623"/>
        <w:gridCol w:w="623"/>
        <w:gridCol w:w="496"/>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 October 31, 2025</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Carrying Value</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Carrying Value</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Fair Value</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2028 Notes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$597,355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$606,329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$596,437 </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$617,904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2031 Notes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545,143 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548,303 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2033 Notes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594,124 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600,131 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593,618 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624,320 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2036 Notes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643,713 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643,230 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Totals</w:t>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$2,380,335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$2,397,993 </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$1,190,055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$1,242,224 </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720"/>
        <w:jc w:val="center"/>
        <w:rPr/>
      </w:pPr>
      <w:r>
        <w:rPr/>
      </w:r>
    </w:p>
    <w:p>
      <w:pPr>
        <w:pStyle w:val="TextBody"/>
        <w:bidi w:val="0"/>
        <w:spacing w:before="0" w:after="20"/>
        <w:ind w:left="0" w:right="0" w:firstLine="720"/>
        <w:jc w:val="center"/>
        <w:rPr/>
      </w:pPr>
      <w:r>
        <w:rPr/>
      </w:r>
    </w:p>
    <w:p>
      <w:pPr>
        <w:pStyle w:val="TextBody"/>
        <w:bidi w:val="0"/>
        <w:spacing w:before="0" w:after="2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6.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Contract Balances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Contract assets (unbilled receivables) represent revenue recognized on contracts using an over time recognition model in excess of amounts invoiced to the customer. Contract liabilities (deferred revenue) represent customer advances and billings in excess of revenue recognized and are included within accrued expenses and other current liabilities and other long-term liabilities in the Company’s Condensed Consolidated Balance Sheets.</w:t>
      </w:r>
    </w:p>
    <w:p>
      <w:pPr>
        <w:pStyle w:val="TextBody"/>
        <w:bidi w:val="0"/>
        <w:spacing w:before="0" w:after="0"/>
        <w:jc w:val="left"/>
        <w:rPr/>
      </w:pPr>
      <w:r>
        <w:rPr/>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4"/>
        </w:rPr>
        <w:t>The following table presents the Company's contract assets and liabilities (in thousands):</w:t>
      </w:r>
    </w:p>
    <w:tbl>
      <w:tblPr>
        <w:tblW w:w="6581" w:type="dxa"/>
        <w:jc w:val="left"/>
        <w:tblInd w:w="0" w:type="dxa"/>
        <w:tblLayout w:type="fixed"/>
        <w:tblCellMar>
          <w:top w:w="28" w:type="dxa"/>
          <w:left w:w="28" w:type="dxa"/>
          <w:bottom w:w="28" w:type="dxa"/>
          <w:right w:w="28" w:type="dxa"/>
        </w:tblCellMar>
      </w:tblPr>
      <w:tblGrid>
        <w:gridCol w:w="1033"/>
        <w:gridCol w:w="905"/>
        <w:gridCol w:w="912"/>
        <w:gridCol w:w="536"/>
        <w:gridCol w:w="530"/>
        <w:gridCol w:w="478"/>
        <w:gridCol w:w="109"/>
        <w:gridCol w:w="109"/>
        <w:gridCol w:w="109"/>
        <w:gridCol w:w="540"/>
        <w:gridCol w:w="540"/>
        <w:gridCol w:w="780"/>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of</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October 31,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Contract assets, current </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$134,443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$119,257 </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Contract liabilities, current </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(134,377)</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(79,529)</w:t>
            </w:r>
          </w:p>
        </w:tc>
        <w:tc>
          <w:tcPr>
            <w:tcW w:w="7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Contract liabilities, long-term</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(65,261)</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(84,714)</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contract liabilities </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(199,638)</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(164,243)</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contract liabilities</w:t>
            </w:r>
          </w:p>
        </w:tc>
        <w:tc>
          <w:tcPr>
            <w:tcW w:w="10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($65,195)</w:t>
            </w:r>
          </w:p>
        </w:tc>
        <w:tc>
          <w:tcPr>
            <w:tcW w:w="4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($44,986)</w:t>
            </w:r>
          </w:p>
        </w:tc>
        <w:tc>
          <w:tcPr>
            <w:tcW w:w="7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increase in the Company's contract assets during the first nine months of fiscal 2026 principally reflects additional unbilled receivables on certain customer contracts using an over time recognition model in excess of billings, as well as the contract assets of certain businesses acquired during fiscal 2026. The increase in the Company's total contract liabilities during the first nine months of fiscal 2026 principally reflects the receipt of advance deposits on certain customer contracts, mainly at the FSG.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amount of revenue that the Company recognized during the nine and three months ended July 31, 2026 that was included in contract liabilities as of the beginning of fiscal 2026 was $73.6 million and $17.8 million,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Backlog, which the Company believes to be the equivalent of its remaining performance obligations, represents contractually committed or firm customer orders. As of July 31, 2026, the Company had $2,824.8 million of remaining performance obligations associated with firm contracts pertaining to many of the products offered by the FSG and ETG. The Company will recognize net sales as these obligations are satisfied. The Company expects to recognize $783.4 million of this amount during the remainder of fiscal 2026 and $2,041.4 million thereafter, of which the majority is expected to occur in fiscal 2027.</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Disaggregation of Revenue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following table summarizes the Company’s net sales by product line for each operating segment (in thousands): </w:t>
      </w:r>
    </w:p>
    <w:tbl>
      <w:tblPr>
        <w:tblW w:w="10205" w:type="dxa"/>
        <w:jc w:val="left"/>
        <w:tblInd w:w="0" w:type="dxa"/>
        <w:tblLayout w:type="fixed"/>
        <w:tblCellMar>
          <w:top w:w="28" w:type="dxa"/>
          <w:left w:w="28" w:type="dxa"/>
          <w:bottom w:w="28" w:type="dxa"/>
          <w:right w:w="28" w:type="dxa"/>
        </w:tblCellMar>
      </w:tblPr>
      <w:tblGrid>
        <w:gridCol w:w="1179"/>
        <w:gridCol w:w="951"/>
        <w:gridCol w:w="955"/>
        <w:gridCol w:w="694"/>
        <w:gridCol w:w="387"/>
        <w:gridCol w:w="234"/>
        <w:gridCol w:w="234"/>
        <w:gridCol w:w="234"/>
        <w:gridCol w:w="234"/>
        <w:gridCol w:w="694"/>
        <w:gridCol w:w="387"/>
        <w:gridCol w:w="234"/>
        <w:gridCol w:w="109"/>
        <w:gridCol w:w="109"/>
        <w:gridCol w:w="109"/>
        <w:gridCol w:w="709"/>
        <w:gridCol w:w="372"/>
        <w:gridCol w:w="239"/>
        <w:gridCol w:w="239"/>
        <w:gridCol w:w="239"/>
        <w:gridCol w:w="239"/>
        <w:gridCol w:w="709"/>
        <w:gridCol w:w="372"/>
        <w:gridCol w:w="343"/>
      </w:tblGrid>
      <w:tr>
        <w:trPr/>
        <w:tc>
          <w:tcPr>
            <w:tcW w:w="11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r>
      <w:tr>
        <w:trPr/>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Flight Support Group:</w:t>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Aftermarket replacement parts </w:t>
            </w:r>
            <w:r>
              <w:rPr>
                <w:rFonts w:ascii="Times New Roman;serif" w:hAnsi="Times New Roman;serif"/>
                <w:b w:val="false"/>
                <w:color w:val="000000"/>
                <w:sz w:val="13"/>
              </w:rPr>
              <w:t>(1)</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$1,640,465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$1,412,286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$486,296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Repair and overhaul parts and services </w:t>
            </w:r>
            <w:r>
              <w:rPr>
                <w:rFonts w:ascii="Times New Roman;serif" w:hAnsi="Times New Roman;serif"/>
                <w:b w:val="false"/>
                <w:color w:val="000000"/>
                <w:sz w:val="13"/>
              </w:rPr>
              <w:t>(2)</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671,132 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248,603 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201,261 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Specialty products </w:t>
            </w:r>
            <w:r>
              <w:rPr>
                <w:rFonts w:ascii="Times New Roman;serif" w:hAnsi="Times New Roman;serif"/>
                <w:b w:val="false"/>
                <w:color w:val="000000"/>
                <w:sz w:val="13"/>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385,633 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2,697,230 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2,282,905 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947,803 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802,661 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Technologies Group:</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Electronic component parts primarily for </w:t>
            </w:r>
          </w:p>
          <w:p>
            <w:pPr>
              <w:pStyle w:val="TableContents"/>
              <w:bidi w:val="0"/>
              <w:spacing w:lineRule="auto" w:line="240" w:before="0" w:after="0"/>
              <w:jc w:val="left"/>
              <w:rPr/>
            </w:pPr>
            <w:r>
              <w:rPr>
                <w:rFonts w:ascii="Times New Roman;serif" w:hAnsi="Times New Roman;serif"/>
                <w:b w:val="false"/>
                <w:color w:val="000000"/>
                <w:sz w:val="20"/>
              </w:rPr>
              <w:t xml:space="preserve">defense, space and aerospace equipment </w:t>
            </w:r>
            <w:r>
              <w:rPr>
                <w:rFonts w:ascii="Times New Roman;serif" w:hAnsi="Times New Roman;serif"/>
                <w:b w:val="false"/>
                <w:color w:val="000000"/>
                <w:sz w:val="13"/>
              </w:rPr>
              <w:t>(4)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1,072,506 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830,393 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392,399 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290,680 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Electronic component parts for equipment </w:t>
            </w:r>
          </w:p>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in various other industries </w:t>
            </w:r>
            <w:r>
              <w:rPr>
                <w:rFonts w:ascii="Times New Roman;serif" w:hAnsi="Times New Roman;serif"/>
                <w:b w:val="false"/>
                <w:color w:val="000000"/>
                <w:sz w:val="13"/>
              </w:rPr>
              <w:t>(5)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241,188 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1,313,694 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1,028,345 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483,487 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355,863 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$3,967,345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$3,275,633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$1,413,050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$1,147,591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ind w:left="0" w:right="0" w:hanging="225"/>
        <w:jc w:val="left"/>
        <w:rPr/>
      </w:pPr>
      <w:r>
        <w:rPr>
          <w:rFonts w:ascii="Times New Roman;serif" w:hAnsi="Times New Roman;serif"/>
          <w:b w:val="false"/>
          <w:color w:val="000000"/>
          <w:sz w:val="14"/>
        </w:rPr>
        <w:t>(1)    </w:t>
      </w:r>
      <w:r>
        <w:rPr>
          <w:rFonts w:ascii="Times New Roman;serif" w:hAnsi="Times New Roman;serif"/>
          <w:b w:val="false"/>
          <w:color w:val="000000"/>
          <w:sz w:val="22"/>
        </w:rPr>
        <w:t>Includes various jet engine and aircraft component replacement parts.</w:t>
      </w:r>
    </w:p>
    <w:p>
      <w:pPr>
        <w:pStyle w:val="TextBody"/>
        <w:bidi w:val="0"/>
        <w:spacing w:lineRule="auto" w:line="288" w:before="0" w:after="60"/>
        <w:ind w:left="0" w:right="0" w:hanging="225"/>
        <w:jc w:val="left"/>
        <w:rPr/>
      </w:pPr>
      <w:r>
        <w:rPr>
          <w:rFonts w:ascii="Times New Roman;serif" w:hAnsi="Times New Roman;serif"/>
          <w:b w:val="false"/>
          <w:color w:val="000000"/>
          <w:sz w:val="14"/>
        </w:rPr>
        <w:t>(2)    </w:t>
      </w:r>
      <w:r>
        <w:rPr>
          <w:rFonts w:ascii="Times New Roman;serif" w:hAnsi="Times New Roman;serif"/>
          <w:b w:val="false"/>
          <w:color w:val="000000"/>
          <w:sz w:val="22"/>
        </w:rPr>
        <w:t>Includes primarily the sale of parts consumed in various repair and overhaul services on selected jet engine and aircraft components, avionics, instruments, composites and flight surfaces of commercial and military aircraft.</w:t>
      </w:r>
    </w:p>
    <w:p>
      <w:pPr>
        <w:pStyle w:val="TextBody"/>
        <w:bidi w:val="0"/>
        <w:spacing w:lineRule="auto" w:line="288" w:before="0" w:after="60"/>
        <w:ind w:left="0" w:right="0" w:hanging="225"/>
        <w:jc w:val="left"/>
        <w:rPr/>
      </w:pPr>
      <w:r>
        <w:rPr>
          <w:rFonts w:ascii="Times New Roman;serif" w:hAnsi="Times New Roman;serif"/>
          <w:b w:val="false"/>
          <w:color w:val="000000"/>
          <w:sz w:val="14"/>
        </w:rPr>
        <w:t xml:space="preserve">(3) </w:t>
      </w:r>
      <w:r>
        <w:rPr>
          <w:rFonts w:ascii="Times New Roman;serif" w:hAnsi="Times New Roman;serif"/>
          <w:b w:val="false"/>
          <w:color w:val="000000"/>
          <w:sz w:val="22"/>
        </w:rPr>
        <w:t>Includes primarily the sale of specialty components such as missile hardware and components, thermal insulation blankets, renewable/reusable insulation systems, advanced niche components, complex composite assemblies, expanded foil mesh, emergency descent devices, personnel and cargo parachute products, armored vehicle track systems, as well as machining, brazing, fabricating and welding services.</w:t>
      </w:r>
    </w:p>
    <w:p>
      <w:pPr>
        <w:pStyle w:val="TextBody"/>
        <w:bidi w:val="0"/>
        <w:spacing w:lineRule="auto" w:line="288" w:before="0" w:after="60"/>
        <w:ind w:left="0" w:right="0" w:hanging="225"/>
        <w:jc w:val="left"/>
        <w:rPr/>
      </w:pPr>
      <w:r>
        <w:rPr>
          <w:rFonts w:ascii="Times New Roman;serif" w:hAnsi="Times New Roman;serif"/>
          <w:b w:val="false"/>
          <w:color w:val="000000"/>
          <w:sz w:val="14"/>
        </w:rPr>
        <w:t>(4)    </w:t>
      </w:r>
      <w:r>
        <w:rPr>
          <w:rFonts w:ascii="Times New Roman;serif" w:hAnsi="Times New Roman;serif"/>
          <w:b w:val="false"/>
          <w:color w:val="000000"/>
          <w:sz w:val="22"/>
        </w:rPr>
        <w:t xml:space="preserve">Includes various types of electronic, data and microwave, and electro-optical component parts such as electro-optical infrared simulation and test equipment, electro-optical laser products, microwave and other power equipment, high-speed interface products, power conversion products, power distribution solutions, underwater locator beacons, emergency locator transmission beacons, traveling wave tube amplifiers, microwave power modules, a wide variety of memory products and radio frequency (RF) and microwave products, crashworthy primary fuel system bladders and ballistically self-sealing auxiliary fuel systems, high performance communications and electronic intercept receivers and tuners, high performance active antenna systems and airborne antennas, technical surveillance countermeasures (TSCM) equipment, custom high power filters and filter assemblies, radiation assurance services and products, and high-reliability, complex, passive electronic components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rotary joint assemblies, proprietary in-cabin power and entertainment components and subsystems, and cockpit displays and other avionics components.</w:t>
      </w:r>
    </w:p>
    <w:p>
      <w:pPr>
        <w:pStyle w:val="TextBody"/>
        <w:bidi w:val="0"/>
        <w:spacing w:lineRule="auto" w:line="288" w:before="0" w:after="0"/>
        <w:ind w:left="0" w:right="0" w:hanging="225"/>
        <w:jc w:val="left"/>
        <w:rPr/>
      </w:pPr>
      <w:r>
        <w:rPr>
          <w:rFonts w:ascii="Times New Roman;serif" w:hAnsi="Times New Roman;serif"/>
          <w:b w:val="false"/>
          <w:color w:val="000000"/>
          <w:sz w:val="14"/>
        </w:rPr>
        <w:t>(5)</w:t>
      </w:r>
      <w:r>
        <w:rPr>
          <w:color w:val="000000"/>
        </w:rPr>
        <w:t>    </w:t>
      </w:r>
      <w:r>
        <w:rPr>
          <w:rFonts w:ascii="Times New Roman;serif" w:hAnsi="Times New Roman;serif"/>
          <w:b w:val="false"/>
          <w:color w:val="000000"/>
          <w:sz w:val="22"/>
        </w:rPr>
        <w:t xml:space="preserve">Includes various component parts such as electromagnetic and radio frequency interference shielding, high voltage interconnection devices, high voltage advanced power electronics, harsh environment connectivity products, custom molded cable assemblies, silicone material for a variety of demanding applications, and rugged small form-factor embedded computing solutions, and high-performance test sockets and adapters. </w:t>
      </w:r>
    </w:p>
    <w:p>
      <w:pPr>
        <w:pStyle w:val="TextBody"/>
        <w:bidi w:val="0"/>
        <w:spacing w:before="0" w:after="0"/>
        <w:ind w:left="0" w:right="0" w:hanging="225"/>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following table summarizes the Company’s net sales by industry for each operating segment (in thousands):</w:t>
      </w:r>
    </w:p>
    <w:tbl>
      <w:tblPr>
        <w:tblW w:w="10205" w:type="dxa"/>
        <w:jc w:val="left"/>
        <w:tblInd w:w="0" w:type="dxa"/>
        <w:tblLayout w:type="fixed"/>
        <w:tblCellMar>
          <w:top w:w="28" w:type="dxa"/>
          <w:left w:w="28" w:type="dxa"/>
          <w:bottom w:w="28" w:type="dxa"/>
          <w:right w:w="28" w:type="dxa"/>
        </w:tblCellMar>
      </w:tblPr>
      <w:tblGrid>
        <w:gridCol w:w="1022"/>
        <w:gridCol w:w="784"/>
        <w:gridCol w:w="775"/>
        <w:gridCol w:w="800"/>
        <w:gridCol w:w="446"/>
        <w:gridCol w:w="219"/>
        <w:gridCol w:w="219"/>
        <w:gridCol w:w="219"/>
        <w:gridCol w:w="219"/>
        <w:gridCol w:w="800"/>
        <w:gridCol w:w="446"/>
        <w:gridCol w:w="219"/>
        <w:gridCol w:w="109"/>
        <w:gridCol w:w="109"/>
        <w:gridCol w:w="109"/>
        <w:gridCol w:w="818"/>
        <w:gridCol w:w="428"/>
        <w:gridCol w:w="224"/>
        <w:gridCol w:w="224"/>
        <w:gridCol w:w="224"/>
        <w:gridCol w:w="224"/>
        <w:gridCol w:w="818"/>
        <w:gridCol w:w="428"/>
        <w:gridCol w:w="322"/>
      </w:tblGrid>
      <w:tr>
        <w:trPr/>
        <w:tc>
          <w:tcPr>
            <w:tcW w:w="10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Aerospace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$1,969,867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$1,721,374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$668,382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$615,053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Defense and Space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653,427 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516,287 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247,651 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172,286 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w:t>
            </w:r>
            <w:r>
              <w:rPr>
                <w:rFonts w:ascii="Times New Roman;serif" w:hAnsi="Times New Roman;serif"/>
                <w:b w:val="false"/>
                <w:color w:val="000000"/>
                <w:sz w:val="14"/>
              </w:rPr>
              <w:t>(1)</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73,936 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45,244 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31,770 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15,322 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sales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2,697,230 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2,282,905 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947,803 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802,661 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Defense and Space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626,051 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524,577 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238,093 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182,590 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w:t>
            </w:r>
            <w:r>
              <w:rPr>
                <w:rFonts w:ascii="Times New Roman;serif" w:hAnsi="Times New Roman;serif"/>
                <w:b w:val="false"/>
                <w:color w:val="000000"/>
                <w:sz w:val="14"/>
              </w:rPr>
              <w:t>(2)</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380,459 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309,864 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139,607 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104,524 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Aerospace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307,184 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193,904 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105,787 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68,749 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net sales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1,313,694 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1,028,345 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483,487 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355,863 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Intersegment sales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(43,579)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(35,617)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(18,240)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(10,933)</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consolidated net sales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$3,967,345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$3,275,633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$1,413,050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$1,147,591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225"/>
        <w:jc w:val="left"/>
        <w:rPr/>
      </w:pPr>
      <w:r>
        <w:rPr/>
      </w:r>
    </w:p>
    <w:p>
      <w:pPr>
        <w:pStyle w:val="TextBody"/>
        <w:bidi w:val="0"/>
        <w:spacing w:lineRule="auto" w:line="288" w:before="0" w:after="60"/>
        <w:ind w:left="0" w:right="0" w:hanging="225"/>
        <w:jc w:val="left"/>
        <w:rPr/>
      </w:pPr>
      <w:r>
        <w:rPr>
          <w:rFonts w:ascii="Times New Roman;serif" w:hAnsi="Times New Roman;serif"/>
          <w:b w:val="false"/>
          <w:color w:val="000000"/>
          <w:sz w:val="14"/>
        </w:rPr>
        <w:t>(1)    </w:t>
      </w:r>
      <w:r>
        <w:rPr>
          <w:rFonts w:ascii="Times New Roman;serif" w:hAnsi="Times New Roman;serif"/>
          <w:b w:val="false"/>
          <w:color w:val="000000"/>
          <w:sz w:val="22"/>
        </w:rPr>
        <w:t>Principally industrial products.</w:t>
      </w:r>
    </w:p>
    <w:p>
      <w:pPr>
        <w:pStyle w:val="TextBody"/>
        <w:bidi w:val="0"/>
        <w:spacing w:lineRule="auto" w:line="288" w:before="0" w:after="0"/>
        <w:ind w:left="0" w:right="0" w:hanging="225"/>
        <w:jc w:val="left"/>
        <w:rPr/>
      </w:pPr>
      <w:r>
        <w:rPr>
          <w:rFonts w:ascii="Times New Roman;serif" w:hAnsi="Times New Roman;serif"/>
          <w:b w:val="false"/>
          <w:color w:val="000000"/>
          <w:sz w:val="14"/>
        </w:rPr>
        <w:t>(2)    </w:t>
      </w:r>
      <w:r>
        <w:rPr>
          <w:rFonts w:ascii="Times New Roman;serif" w:hAnsi="Times New Roman;serif"/>
          <w:b w:val="false"/>
          <w:color w:val="000000"/>
          <w:sz w:val="22"/>
        </w:rPr>
        <w:t>Principally other electronics and medical products.</w:t>
      </w:r>
    </w:p>
    <w:p>
      <w:pPr>
        <w:pStyle w:val="TextBody"/>
        <w:bidi w:val="0"/>
        <w:spacing w:before="0" w:after="0"/>
        <w:ind w:left="0" w:right="0" w:hanging="225"/>
        <w:jc w:val="left"/>
        <w:rPr/>
      </w:pPr>
      <w:r>
        <w:rPr/>
      </w:r>
    </w:p>
    <w:p>
      <w:pPr>
        <w:pStyle w:val="TextBody"/>
        <w:bidi w:val="0"/>
        <w:spacing w:before="0" w:after="0"/>
        <w:ind w:left="0" w:right="0" w:hanging="22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7.     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effective tax rate was 18.4% in the first nine months of fiscal 2026, as compared to 16.0% in the first nine months of fiscal 2025. The increase in the Company's effective tax rate principally reflects a smaller tax benefit from stock option exercises recognized in the first quarter of fiscal 2026. The Company recognized a discrete tax benefit from stock option exercises in the first quarter of fiscal 2026 and 2025 of $22.3 million and $27.2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effective tax rate was 20.6% in the third quarter of fiscal 2026, as compared to 18.9% in the third quarter of fiscal 2025. The increase in the Company's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tax rate principally reflects a smaller favorable impact from tax-exempt unrealized gains recognized in the cash surrender values of life insurance policies related to the HEICO Corporation Leadership Compensation Plan in the third quarter of fiscal 2026 as compared to the third quarter of fiscal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8.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Company's assets and liabilities that were measured at fair value on a recurring basis are set forth by level within the fair value hierarchy in the following tables (in thousands):</w:t>
      </w:r>
    </w:p>
    <w:tbl>
      <w:tblPr>
        <w:tblW w:w="10205" w:type="dxa"/>
        <w:jc w:val="left"/>
        <w:tblInd w:w="0" w:type="dxa"/>
        <w:tblLayout w:type="fixed"/>
        <w:tblCellMar>
          <w:top w:w="28" w:type="dxa"/>
          <w:left w:w="28" w:type="dxa"/>
          <w:bottom w:w="28" w:type="dxa"/>
          <w:right w:w="28" w:type="dxa"/>
        </w:tblCellMar>
      </w:tblPr>
      <w:tblGrid>
        <w:gridCol w:w="818"/>
        <w:gridCol w:w="577"/>
        <w:gridCol w:w="583"/>
        <w:gridCol w:w="109"/>
        <w:gridCol w:w="109"/>
        <w:gridCol w:w="109"/>
        <w:gridCol w:w="795"/>
        <w:gridCol w:w="704"/>
        <w:gridCol w:w="706"/>
        <w:gridCol w:w="109"/>
        <w:gridCol w:w="109"/>
        <w:gridCol w:w="109"/>
        <w:gridCol w:w="633"/>
        <w:gridCol w:w="505"/>
        <w:gridCol w:w="506"/>
        <w:gridCol w:w="109"/>
        <w:gridCol w:w="109"/>
        <w:gridCol w:w="109"/>
        <w:gridCol w:w="625"/>
        <w:gridCol w:w="625"/>
        <w:gridCol w:w="627"/>
        <w:gridCol w:w="109"/>
        <w:gridCol w:w="109"/>
        <w:gridCol w:w="109"/>
        <w:gridCol w:w="465"/>
        <w:gridCol w:w="466"/>
        <w:gridCol w:w="262"/>
      </w:tblGrid>
      <w:tr>
        <w:trPr/>
        <w:tc>
          <w:tcPr>
            <w:tcW w:w="81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July 31, 2026</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w:t>
              <w:br/>
              <w:t>in Active Markets for Identical Assets (Level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w:t>
              <w:br/>
              <w:t>Other Observable Inputs</w:t>
              <w:b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$406,887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$406,887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$409,165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7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$69,097 </w:t>
            </w:r>
          </w:p>
        </w:tc>
        <w:tc>
          <w:tcPr>
            <w:tcW w:w="6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$69,097 </w:t>
            </w:r>
          </w:p>
        </w:tc>
        <w:tc>
          <w:tcPr>
            <w:tcW w:w="2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6"/>
        <w:gridCol w:w="573"/>
        <w:gridCol w:w="579"/>
        <w:gridCol w:w="109"/>
        <w:gridCol w:w="109"/>
        <w:gridCol w:w="109"/>
        <w:gridCol w:w="851"/>
        <w:gridCol w:w="693"/>
        <w:gridCol w:w="696"/>
        <w:gridCol w:w="109"/>
        <w:gridCol w:w="109"/>
        <w:gridCol w:w="109"/>
        <w:gridCol w:w="631"/>
        <w:gridCol w:w="501"/>
        <w:gridCol w:w="503"/>
        <w:gridCol w:w="109"/>
        <w:gridCol w:w="109"/>
        <w:gridCol w:w="109"/>
        <w:gridCol w:w="620"/>
        <w:gridCol w:w="620"/>
        <w:gridCol w:w="622"/>
        <w:gridCol w:w="109"/>
        <w:gridCol w:w="109"/>
        <w:gridCol w:w="109"/>
        <w:gridCol w:w="465"/>
        <w:gridCol w:w="466"/>
        <w:gridCol w:w="261"/>
      </w:tblGrid>
      <w:tr>
        <w:trPr/>
        <w:tc>
          <w:tcPr>
            <w:tcW w:w="8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October 31, 2025</w:t>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Quoted Prices </w:t>
              <w:br/>
              <w:t>in Active Markets for Identical Assets (Level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Significant </w:t>
              <w:br/>
              <w:t>Other Observable Inputs</w:t>
              <w:b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w:t>
              <w:b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$378,930 </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$390,870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6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 </w:t>
            </w:r>
          </w:p>
        </w:tc>
        <w:tc>
          <w:tcPr>
            <w:tcW w:w="6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 </w:t>
            </w:r>
          </w:p>
        </w:tc>
        <w:tc>
          <w:tcPr>
            <w:tcW w:w="2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maintains the HEICO Corporation Leadership Compensation Plan (the "LCP"), which is a non-qualified deferred compensation plan. The assets of the LCP principally represent cash surrender values of life insurance policies, which derive their fair values from investments in mutual funds that are managed by an insurance company, and are classified within Level 2 and valued using a market approach. Certain other assets of the LCP represent an investment in a money market fund that is classified within Level 1. The assets of the LCP are held within an irrevocable trust and classified within other assets in the Company’s Condensed Consolidated Balance Sheets. The related liabilities of the LCP are included within other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term liabilities and accrued expenses and other current liabilities in the Company’s Condensed Consolidated Balance Sheets and have an aggregate value of $401.2 million as of July 31, 2026 and $385.7 million as of October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part of the agreement to acquire the remaining ownership interests of a subsidiary by the ETG in fiscal 2026, which was accounted for as an equity transaction, the Company may be obligated to pay contingent consideration of up to $20.0 million in the aggregate during fiscal years 2027 through 2029 based on the entity's financial and operational performance during the three-year period following the transaction. As of July 31, 2026, the estimated fair value of the contingent consideration was $12.2 million. See Note 9, Shareholders' Equity, for additional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90% of the stock of a subsidiary by the ETG in fiscal 2026, the Company may be obligated to pay contingent consideration of up to $4.1 million in fiscal 2030 based on the earnings of the acquired entity during fiscal years 2028 and 2029. As of July 31, 2026, the estimated fair value of the contingent consideration was $2.7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90% of the membership interests of a subsidiary by the FSG in fiscal 2025, the Company may be obligated to pay contingent consideration of up to $21.1 million in fiscal 2028 based on the earnings of the acquired entity during the three-year period following the acquisition provided the entity meets a certain earnings objective over the same three-year period. As of July 31, 2026, the estimated fair value of the contingent consideration was $15.9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96% of the stock of a subsidiary by the FSG in fiscal 2022, the Company may be obligated to pay contingent consideration of up to $27.4 million in fiscal 2027 based on the earnings of the acquired entity during fiscal years 2025 and 2026. As of July 31, 2026, the estimated fair value of the contingent consideration was $24.7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part of the agreement to acquire 74% of the membership interests of a subsidiary by the FSG in fiscal 2022, the Company may be obligated to pay contingent consideration of $14.1 million in fiscal 2027 should the acquired entity meet a certain earnings objective during the five-year period following the acquisition. As of July 31, 2026, the estimated fair value of the contingent consideration was $13.6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estimated fair values of the contingent consideration arrangements described above are classified within Level 3 and were determined using a probability-based scenario analysis approach. Under this method, a set of discrete potential future subsidiary earnings was determined using internal estimates based on various revenue growth rate assumptions for each scenario. A probability of likelihood was assigned to each discrete potential future earnings estimate and the resultant contingent consideration was calculated. The resulting probability-weighted contingent consideration amounts were discounted using a weighted average discount rate reflecting the credit risk of a market participant. Changes in either the revenue growth rates, related earnings or the discount rate could result in a material change to the amount of contingent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consideration accrued and such changes will be recorded in the Company's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unobservable inputs were used to derive the estimated fair value of the Company's Level 3 contingent consideration liabilities as of July 31, 2026:</w:t>
      </w:r>
    </w:p>
    <w:tbl>
      <w:tblPr>
        <w:tblW w:w="10205" w:type="dxa"/>
        <w:jc w:val="left"/>
        <w:tblInd w:w="0" w:type="dxa"/>
        <w:tblLayout w:type="fixed"/>
        <w:tblCellMar>
          <w:top w:w="28" w:type="dxa"/>
          <w:left w:w="28" w:type="dxa"/>
          <w:bottom w:w="28" w:type="dxa"/>
          <w:right w:w="28" w:type="dxa"/>
        </w:tblCellMar>
      </w:tblPr>
      <w:tblGrid>
        <w:gridCol w:w="440"/>
        <w:gridCol w:w="387"/>
        <w:gridCol w:w="389"/>
        <w:gridCol w:w="109"/>
        <w:gridCol w:w="109"/>
        <w:gridCol w:w="109"/>
        <w:gridCol w:w="485"/>
        <w:gridCol w:w="485"/>
        <w:gridCol w:w="486"/>
        <w:gridCol w:w="109"/>
        <w:gridCol w:w="109"/>
        <w:gridCol w:w="109"/>
        <w:gridCol w:w="1235"/>
        <w:gridCol w:w="1235"/>
        <w:gridCol w:w="1238"/>
        <w:gridCol w:w="109"/>
        <w:gridCol w:w="109"/>
        <w:gridCol w:w="109"/>
        <w:gridCol w:w="413"/>
        <w:gridCol w:w="413"/>
        <w:gridCol w:w="415"/>
        <w:gridCol w:w="109"/>
        <w:gridCol w:w="109"/>
        <w:gridCol w:w="109"/>
        <w:gridCol w:w="371"/>
        <w:gridCol w:w="371"/>
        <w:gridCol w:w="53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Unobservable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Weighted</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Average </w:t>
            </w:r>
            <w:r>
              <w:rPr>
                <w:rFonts w:ascii="Times New Roman;serif" w:hAnsi="Times New Roman;serif"/>
                <w:b/>
                <w:color w:val="000000"/>
                <w:sz w:val="14"/>
              </w:rPr>
              <w:t>(1)</w:t>
            </w:r>
            <w:r>
              <w:rPr>
                <w:color w:val="000000"/>
              </w:rPr>
              <w:t xml:space="preserve"> </w:t>
            </w:r>
          </w:p>
        </w:tc>
      </w:tr>
      <w:tr>
        <w:trPr/>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12% - 43%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9.1% - 9.2%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0%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8.2% - 8.2%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 - 19%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6.7% - 6.7%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24,683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 - 9%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6.8% - 6.8%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Compound annual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10% - 11%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5.1% - 5.1%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5.1%</w:t>
            </w:r>
          </w:p>
        </w:tc>
      </w:tr>
      <w:tr>
        <w:trPr/>
        <w:tc>
          <w:tcPr>
            <w:tcW w:w="12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22"/>
        </w:rPr>
        <w:t>Unobservable inputs were weighted by the relative fair value of the contingent consideration liability.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Company’s contingent consideration liabilities measured at fair value on a recurring basis using unobservable inputs (Level 3) for the nine months ended July 31, 2026 are as follows (in thousands):</w:t>
      </w:r>
    </w:p>
    <w:tbl>
      <w:tblPr>
        <w:tblW w:w="9084" w:type="dxa"/>
        <w:jc w:val="left"/>
        <w:tblInd w:w="0" w:type="dxa"/>
        <w:tblLayout w:type="fixed"/>
        <w:tblCellMar>
          <w:top w:w="28" w:type="dxa"/>
          <w:left w:w="28" w:type="dxa"/>
          <w:bottom w:w="28" w:type="dxa"/>
          <w:right w:w="28" w:type="dxa"/>
        </w:tblCellMar>
      </w:tblPr>
      <w:tblGrid>
        <w:gridCol w:w="2657"/>
        <w:gridCol w:w="2338"/>
        <w:gridCol w:w="2355"/>
        <w:gridCol w:w="109"/>
        <w:gridCol w:w="109"/>
        <w:gridCol w:w="109"/>
        <w:gridCol w:w="473"/>
        <w:gridCol w:w="473"/>
        <w:gridCol w:w="461"/>
      </w:tblGrid>
      <w:tr>
        <w:trPr/>
        <w:tc>
          <w:tcPr>
            <w:tcW w:w="2657"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Liabilities</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as of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$46,198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 related to the acquisition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accrued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Contingent consideration related to an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$69,097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Included in the accompanying Condensed Consolidated Balance Sheet</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2"/>
              </w:rPr>
              <w:t>under the following captions: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28,995 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$69,097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records changes in accrued contingent consideration associated with business combinations within SG&amp;A expenses in its Condensed Consolidated Statements of Operations. Changes in contingent consideration associated with acquisitions of noncontrolling interests that are accounted for as equity transactions are recognized as adjustments to capital in excess of par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carrying amounts of the Company’s cash and cash equivalents, accounts receivable, trade accounts payable and accrued expenses and other current liabilities approximate fair value as of July 31, 2026 due to the relatively short maturity of the respective instruments. The carrying amount of borrowings under the Company's Credit Facility approximates fair value due to its variable interest rate. See Note 5, Long-Term Debt, for the estimated fair value of the Company’s senior unsecured notes.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9.    SHAREHOLDERS' EQUITY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Consistent with the Company's strategy of increasing its ownership in certain majority-owned subsidiaries, in June 2026, through a subsidiary of HEICO Electronic, the Company acquired the remaining equity interest in SST Components, Inc., which operates as VPT Components. The purchase price for the remaining equity interest was paid in cash using cash provided by operating ac</w:t>
      </w:r>
      <w:r>
        <w:rPr>
          <w:rFonts w:ascii="Times New Roman;serif" w:hAnsi="Times New Roman;serif"/>
          <w:b w:val="false"/>
          <w:color w:val="000000"/>
          <w:sz w:val="24"/>
          <w:shd w:fill="FFFFFF" w:val="clear"/>
        </w:rPr>
        <w:t>tivities and included a $12.2 million accrual representi</w:t>
      </w:r>
      <w:r>
        <w:rPr>
          <w:rFonts w:ascii="Times New Roman;serif" w:hAnsi="Times New Roman;serif"/>
          <w:b w:val="false"/>
          <w:color w:val="000000"/>
          <w:sz w:val="24"/>
        </w:rPr>
        <w:t>ng the estimated fair value of contingent consideration. The acquisition of the remaining equity interest was accounted for as an equity transaction, and the Company did not recognize any gain or loss in connection with the transaction. See Note 8, Fair Value Measurements, for additional information regarding the Company's contingent consideration obligation.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10.    NET INCOME PER SHARE ATTRIBUTABLE TO HEICO SHAREHOLDERS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computation of basic and diluted net income per share attributable to HEICO shareholders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312"/>
        <w:gridCol w:w="1053"/>
        <w:gridCol w:w="1058"/>
        <w:gridCol w:w="692"/>
        <w:gridCol w:w="374"/>
        <w:gridCol w:w="208"/>
        <w:gridCol w:w="208"/>
        <w:gridCol w:w="208"/>
        <w:gridCol w:w="208"/>
        <w:gridCol w:w="692"/>
        <w:gridCol w:w="374"/>
        <w:gridCol w:w="208"/>
        <w:gridCol w:w="109"/>
        <w:gridCol w:w="109"/>
        <w:gridCol w:w="109"/>
        <w:gridCol w:w="703"/>
        <w:gridCol w:w="363"/>
        <w:gridCol w:w="211"/>
        <w:gridCol w:w="211"/>
        <w:gridCol w:w="211"/>
        <w:gridCol w:w="211"/>
        <w:gridCol w:w="703"/>
        <w:gridCol w:w="363"/>
        <w:gridCol w:w="307"/>
      </w:tblGrid>
      <w:tr>
        <w:trPr/>
        <w:tc>
          <w:tcPr>
            <w:tcW w:w="131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July 31,</w:t>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Numerator:</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HEICO</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$659,428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$502,089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$235,439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$177,341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Denominator:</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basic</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139,544 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138,993 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139,702 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139,135 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dilutive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1,815 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outstanding - diluted</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141,122 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140,678 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141,269 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140,950 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Net income per share attributable to HEICO shareholders: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Anti-dilutive stock options excluded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11.    OPERATING SEGMENTS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financial results of the Company’s operating segments are reported on the same basis used internally by its Chief Operating Decision Maker (“CODM”). The Company’s Co-Chief Executive Officers serve together as the CODM. The primary measure used by the CODM and management to evaluate segment performance and to make decisions regarding resource allocation and business direction is segment operating income. The CODM uses segment operating income to allocate resources, including personnel and financial resources, among the Company’s operating segments, primarily in connection with the annual planning process, and to monitor segment performance relative to prior periods, budgeted expectations, and anticipated future results. The Company generally accounts for intersegment net sales as if the sales were to third parties at current market prices, and any such net sales and associated profit are eliminated in consolidation.</w:t>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Information on the Company’s two operating segments, the FSG and the ETG, for the nine months ended July 31, 2026 and 2025, respectively, is as follows (in thousands):</w:t>
      </w:r>
    </w:p>
    <w:tbl>
      <w:tblPr>
        <w:tblW w:w="10205" w:type="dxa"/>
        <w:jc w:val="left"/>
        <w:tblInd w:w="0" w:type="dxa"/>
        <w:tblLayout w:type="fixed"/>
        <w:tblCellMar>
          <w:top w:w="28" w:type="dxa"/>
          <w:left w:w="28" w:type="dxa"/>
          <w:bottom w:w="28" w:type="dxa"/>
          <w:right w:w="28" w:type="dxa"/>
        </w:tblCellMar>
      </w:tblPr>
      <w:tblGrid>
        <w:gridCol w:w="874"/>
        <w:gridCol w:w="527"/>
        <w:gridCol w:w="531"/>
        <w:gridCol w:w="109"/>
        <w:gridCol w:w="109"/>
        <w:gridCol w:w="109"/>
        <w:gridCol w:w="540"/>
        <w:gridCol w:w="541"/>
        <w:gridCol w:w="161"/>
        <w:gridCol w:w="109"/>
        <w:gridCol w:w="109"/>
        <w:gridCol w:w="109"/>
        <w:gridCol w:w="540"/>
        <w:gridCol w:w="541"/>
        <w:gridCol w:w="176"/>
        <w:gridCol w:w="109"/>
        <w:gridCol w:w="109"/>
        <w:gridCol w:w="109"/>
        <w:gridCol w:w="399"/>
        <w:gridCol w:w="363"/>
        <w:gridCol w:w="361"/>
        <w:gridCol w:w="109"/>
        <w:gridCol w:w="109"/>
        <w:gridCol w:w="109"/>
        <w:gridCol w:w="434"/>
        <w:gridCol w:w="434"/>
        <w:gridCol w:w="436"/>
        <w:gridCol w:w="109"/>
        <w:gridCol w:w="109"/>
        <w:gridCol w:w="109"/>
        <w:gridCol w:w="540"/>
        <w:gridCol w:w="541"/>
        <w:gridCol w:w="631"/>
      </w:tblGrid>
      <w:tr>
        <w:trPr/>
        <w:tc>
          <w:tcPr>
            <w:tcW w:w="8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Corporate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Intersegment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Totals</w:t>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$2,694,619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2,697,230 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1,313,694 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(43,579)</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$3,967,345 </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1,649,643 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(42,487)</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965,533 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44,697 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121,688 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ended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$2,281,624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2,282,905 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1,028,345 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(35,617)</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$3,275,633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739,976 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40,365 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104,504 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Corporate activity consists of unallocated corporate general and administrative expenses. </w:t>
      </w:r>
    </w:p>
    <w:p>
      <w:pPr>
        <w:pStyle w:val="TextBody"/>
        <w:bidi w:val="0"/>
        <w:spacing w:lineRule="auto" w:line="288" w:before="0" w:after="60"/>
        <w:ind w:left="0" w:right="0" w:hanging="18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Intersegment activity principally consists of net sales from the ETG to the FSG.</w:t>
      </w:r>
    </w:p>
    <w:p>
      <w:pPr>
        <w:pStyle w:val="TextBody"/>
        <w:bidi w:val="0"/>
        <w:spacing w:lineRule="auto" w:line="288" w:before="0" w:after="60"/>
        <w:ind w:left="0" w:right="0" w:hanging="18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Represents SG&amp;A expenses.</w:t>
      </w:r>
    </w:p>
    <w:p>
      <w:pPr>
        <w:pStyle w:val="TextBody"/>
        <w:bidi w:val="0"/>
        <w:spacing w:lineRule="auto" w:line="288" w:before="0" w:after="60"/>
        <w:ind w:left="0" w:right="0" w:hanging="18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Depreciation and amortization expense disclosed by reportable segment are included within cost of sales and other segment items.</w:t>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Information on the Company’s two operating segments, the FSG and the ETG, for the three months ended July 31, 2026 and 2025, respectively, is as follows (in thousands):</w:t>
      </w:r>
    </w:p>
    <w:tbl>
      <w:tblPr>
        <w:tblW w:w="10205" w:type="dxa"/>
        <w:jc w:val="left"/>
        <w:tblInd w:w="0" w:type="dxa"/>
        <w:tblLayout w:type="fixed"/>
        <w:tblCellMar>
          <w:top w:w="28" w:type="dxa"/>
          <w:left w:w="28" w:type="dxa"/>
          <w:bottom w:w="28" w:type="dxa"/>
          <w:right w:w="28" w:type="dxa"/>
        </w:tblCellMar>
      </w:tblPr>
      <w:tblGrid>
        <w:gridCol w:w="924"/>
        <w:gridCol w:w="619"/>
        <w:gridCol w:w="624"/>
        <w:gridCol w:w="109"/>
        <w:gridCol w:w="109"/>
        <w:gridCol w:w="109"/>
        <w:gridCol w:w="465"/>
        <w:gridCol w:w="466"/>
        <w:gridCol w:w="161"/>
        <w:gridCol w:w="109"/>
        <w:gridCol w:w="109"/>
        <w:gridCol w:w="109"/>
        <w:gridCol w:w="465"/>
        <w:gridCol w:w="466"/>
        <w:gridCol w:w="176"/>
        <w:gridCol w:w="109"/>
        <w:gridCol w:w="109"/>
        <w:gridCol w:w="109"/>
        <w:gridCol w:w="399"/>
        <w:gridCol w:w="370"/>
        <w:gridCol w:w="368"/>
        <w:gridCol w:w="109"/>
        <w:gridCol w:w="109"/>
        <w:gridCol w:w="109"/>
        <w:gridCol w:w="442"/>
        <w:gridCol w:w="442"/>
        <w:gridCol w:w="443"/>
        <w:gridCol w:w="109"/>
        <w:gridCol w:w="109"/>
        <w:gridCol w:w="109"/>
        <w:gridCol w:w="540"/>
        <w:gridCol w:w="541"/>
        <w:gridCol w:w="659"/>
      </w:tblGrid>
      <w:tr>
        <w:trPr/>
        <w:tc>
          <w:tcPr>
            <w:tcW w:w="92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Corporate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Intersegment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Totals</w:t>
            </w:r>
          </w:p>
        </w:tc>
      </w:tr>
      <w:tr>
        <w:trPr/>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947,803 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483,487 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(18,240)</w:t>
            </w:r>
          </w:p>
        </w:tc>
        <w:tc>
          <w:tcPr>
            <w:tcW w:w="4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$1,413,050 </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355,197 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22,558 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43,060 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802,661 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355,863 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$1,147,591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(13,393)</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265,019 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12,739 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w:t>
            </w:r>
            <w:r>
              <w:rPr>
                <w:color w:val="000000"/>
              </w:rPr>
              <w:t xml:space="preserv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35,618 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Corporate activity consists of unallocated corporate general and administrative expenses. </w:t>
      </w:r>
    </w:p>
    <w:p>
      <w:pPr>
        <w:pStyle w:val="TextBody"/>
        <w:bidi w:val="0"/>
        <w:spacing w:lineRule="auto" w:line="288" w:before="0" w:after="60"/>
        <w:ind w:left="0" w:right="0" w:hanging="18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Intersegment activity principally consists of net sales from the ETG to the FSG.</w:t>
      </w:r>
    </w:p>
    <w:p>
      <w:pPr>
        <w:pStyle w:val="TextBody"/>
        <w:bidi w:val="0"/>
        <w:spacing w:lineRule="auto" w:line="288" w:before="0" w:after="60"/>
        <w:ind w:left="0" w:right="0" w:hanging="180"/>
        <w:jc w:val="left"/>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Represents SG&amp;A expenses.</w:t>
      </w:r>
    </w:p>
    <w:p>
      <w:pPr>
        <w:pStyle w:val="TextBody"/>
        <w:bidi w:val="0"/>
        <w:spacing w:lineRule="auto" w:line="288" w:before="0" w:after="60"/>
        <w:ind w:left="0" w:right="0" w:hanging="18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Depreciation and amortization expense disclosed by reportable segment are included within cost of sales and other segment items. Corporate amortization for the three months ended July 31, 2026 reflects a year-to-date reclassification of debt issuance cost amortization associated with the Company’s Credit Facility from SG&amp;A expenses to interest expense.</w:t>
      </w:r>
    </w:p>
    <w:p>
      <w:pPr>
        <w:pStyle w:val="TextBody"/>
        <w:bidi w:val="0"/>
        <w:spacing w:before="0" w:after="6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Total assets by operating segment are as follows (in thousands):</w:t>
      </w:r>
    </w:p>
    <w:tbl>
      <w:tblPr>
        <w:tblW w:w="10205" w:type="dxa"/>
        <w:jc w:val="left"/>
        <w:tblInd w:w="0" w:type="dxa"/>
        <w:tblLayout w:type="fixed"/>
        <w:tblCellMar>
          <w:top w:w="28" w:type="dxa"/>
          <w:left w:w="28" w:type="dxa"/>
          <w:bottom w:w="28" w:type="dxa"/>
          <w:right w:w="28" w:type="dxa"/>
        </w:tblCellMar>
      </w:tblPr>
      <w:tblGrid>
        <w:gridCol w:w="899"/>
        <w:gridCol w:w="712"/>
        <w:gridCol w:w="718"/>
        <w:gridCol w:w="109"/>
        <w:gridCol w:w="109"/>
        <w:gridCol w:w="109"/>
        <w:gridCol w:w="623"/>
        <w:gridCol w:w="623"/>
        <w:gridCol w:w="181"/>
        <w:gridCol w:w="109"/>
        <w:gridCol w:w="109"/>
        <w:gridCol w:w="109"/>
        <w:gridCol w:w="623"/>
        <w:gridCol w:w="623"/>
        <w:gridCol w:w="196"/>
        <w:gridCol w:w="109"/>
        <w:gridCol w:w="109"/>
        <w:gridCol w:w="109"/>
        <w:gridCol w:w="702"/>
        <w:gridCol w:w="571"/>
        <w:gridCol w:w="572"/>
        <w:gridCol w:w="109"/>
        <w:gridCol w:w="109"/>
        <w:gridCol w:w="109"/>
        <w:gridCol w:w="623"/>
        <w:gridCol w:w="623"/>
        <w:gridCol w:w="608"/>
      </w:tblGrid>
      <w:tr>
        <w:trPr/>
        <w:tc>
          <w:tcPr>
            <w:tcW w:w="8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Other, </w:t>
              <w:br/>
              <w:t>Primarily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Consolidated </w:t>
              <w:br/>
              <w:t>Totals</w:t>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 as of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$5,452,443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$3,987,629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$496,539 </w:t>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$9,936,611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 as of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4,571,887 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3,437,221 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491,326 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8,500,434 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12.     COMMITMENTS AND CONTINGENCIES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Guarantees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of July 31, 2026, the Company had outstanding standby letters of credit and guarantees with financial institutions aggregating $14.4 million. These guarantees and standby letters of credit pertain to performance guarantees issued in connection with customer contracts entered into by certain of the Company's subsidiaries, and a payment guarantee related to potential workers' compensation claims.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Product Warranty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Changes in the Company’s product warranty liability for the nine months ended July 31, 2026 and 2025, respectively, are as follows (in thousands):</w:t>
      </w:r>
    </w:p>
    <w:tbl>
      <w:tblPr>
        <w:tblW w:w="7477" w:type="dxa"/>
        <w:jc w:val="left"/>
        <w:tblInd w:w="0" w:type="dxa"/>
        <w:tblLayout w:type="fixed"/>
        <w:tblCellMar>
          <w:top w:w="28" w:type="dxa"/>
          <w:left w:w="28" w:type="dxa"/>
          <w:bottom w:w="28" w:type="dxa"/>
          <w:right w:w="28" w:type="dxa"/>
        </w:tblCellMar>
      </w:tblPr>
      <w:tblGrid>
        <w:gridCol w:w="1358"/>
        <w:gridCol w:w="1192"/>
        <w:gridCol w:w="1199"/>
        <w:gridCol w:w="109"/>
        <w:gridCol w:w="109"/>
        <w:gridCol w:w="109"/>
        <w:gridCol w:w="596"/>
        <w:gridCol w:w="350"/>
        <w:gridCol w:w="301"/>
        <w:gridCol w:w="301"/>
        <w:gridCol w:w="301"/>
        <w:gridCol w:w="301"/>
        <w:gridCol w:w="521"/>
        <w:gridCol w:w="305"/>
        <w:gridCol w:w="425"/>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Nine months ended July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beginning of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$5,768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$4,036 </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Accruals for warranties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6,990 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1,955 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Acquired warranty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1,052 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Warranty claims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(2,265)</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Balances as of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$14,652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$4,778 </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of July 31, 2026 and October 31, 2025, product warranty liabilities included in accrued expenses and other current liabilities were $7.8 million and $5.8 million, respectively, and product warranty liabilities included in other long-term liabilities were $6.9 million and $0.0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Litigation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is involved in various legal actions arising in the normal course of business. Based upon the Company’s and its legal counsel’s evaluations of any claims or assessments, management is of the opinion that the outcome of these matters will not have a material adverse effect on the Company’s results of operations, financial position or cash flows.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13.     SUBSEQUENT EVENT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through HEICO Electronic, entered into an agreement to acquire 100% of the stock of a company that designs and manufactures underwater locator beacon and locating device solutions for aircraft and maritime applications. Closing is subject to governmental approval and standard closing conditions and is expected to occur in the fourth quarter of fiscal 2026. The purchase price of this acquisition is expected to be paid with cash using proceeds from the Company's revolving credit facility and is not material or significant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before="0" w:after="0"/>
        <w:ind w:left="0" w:right="0" w:hanging="8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Overview</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discussion of our financial condition and results of operations should be read in conjunction with our condensed consolidated financial statements and notes thereto included herein. 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materially from those estimates if different assumptions were used or different events ultimately transpire.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critical accounting policies, which require management to make judgments about matters that are inherently uncertain, are described in Item 7, “Management’s Discussion and Analysis of Financial Condition and Results of Operations,” under the heading “Critical Accounting Estimates” in our Annual Report on Form 10-K for the year ended October 31, 2025. There have been no material changes to our critical accounting policies during the nine months ended July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business is comprised of two operating segments: the Flight Support Group (“FSG”), consisting of HEICO Aerospace Holdings Corp. and HEICO Flight Support Corp. and their respective subsidiaries; and the Electronic Technologies Group (“ETG”), consisting of HEICO Electronic Technologies Corp. and its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results of operations for the nine and three months ended July 31, 2026 have been affected by the fiscal 2025 acquisitions as further detailed in Note 2, Acquisitions, of the Notes to Consolidated Financial Statements of our Annual Report on Form 10-K for the year ended October 31, 2025 and the fiscal 2026 acquisitions as further detailed in Note 2, Acquisitions, of the Notes to the Condensed Consolidated Financial Statements of this quarterly report.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table sets forth the results of our operations, net sales and operating income by segment and the percentage of net sales represented by the respective items in our Condensed Consolidated Statements of Operations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932"/>
        <w:gridCol w:w="739"/>
        <w:gridCol w:w="718"/>
        <w:gridCol w:w="793"/>
        <w:gridCol w:w="453"/>
        <w:gridCol w:w="401"/>
        <w:gridCol w:w="136"/>
        <w:gridCol w:w="136"/>
        <w:gridCol w:w="136"/>
        <w:gridCol w:w="793"/>
        <w:gridCol w:w="453"/>
        <w:gridCol w:w="401"/>
        <w:gridCol w:w="109"/>
        <w:gridCol w:w="109"/>
        <w:gridCol w:w="109"/>
        <w:gridCol w:w="793"/>
        <w:gridCol w:w="453"/>
        <w:gridCol w:w="407"/>
        <w:gridCol w:w="138"/>
        <w:gridCol w:w="138"/>
        <w:gridCol w:w="138"/>
        <w:gridCol w:w="793"/>
        <w:gridCol w:w="453"/>
        <w:gridCol w:w="474"/>
      </w:tblGrid>
      <w:tr>
        <w:trPr/>
        <w:tc>
          <w:tcPr>
            <w:tcW w:w="93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Nine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July 31,</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sales</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$3,967,345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$3,275,633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$1,413,050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$1,147,591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2,361,869 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1,975,010 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832,063 </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690,434 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639,943 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560,647 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225,790 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192,138 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operating costs and expenses</w:t>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3,001,812 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2,535,657 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1,057,853 </w:t>
            </w:r>
          </w:p>
        </w:tc>
        <w:tc>
          <w:tcPr>
            <w:tcW w:w="4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882,572 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$965,533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$739,976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$355,197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$265,019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sales by segment:</w:t>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$2,697,230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$2,282,905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$947,803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$802,661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1,313,694 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1,028,345 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483,487 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355,863 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Intersegment sales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(43,579)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(35,617)</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(18,240)</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(10,933)</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$3,967,345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$3,275,633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$1,413,050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$1,147,591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 by segment:</w:t>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Flight Support Group</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$689,096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$549,422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$245,299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$198,326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Electronic Technologies Group</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320,620 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235,334 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125,565 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80,998 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primarily corporate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(44,183)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(44,780)</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(15,667)</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(14,305)</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$965,533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$739,976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$355,197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$265,019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sales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Gross profit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40.5</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41.1</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39.8</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17.1</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23.1</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Other income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noncontrolling interests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HEICO</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Comparison of First Nine Months of Fiscal 2026 to First Nine Months of Fiscal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net sales in the first nine months of fiscal 2026 increased by 21% to a record $3,967.3 million, up from net sales of $3,275.6 million in the first nine months of fiscal 2025. The increase in consolidated net sales principally reflects an increase of $414.3 million (an 18% increase) to a record $2,697.2 million in net sales of the FSG and an increase of $285.3 million (a 28% increase) to a record $1,313.7 million in net sales of the ETG. The net sales increase in the FSG reflects robust organic growth of 15% and net sales of $81.9 million contributed by fiscal 2026 and 2025 acquisitions. The FSG's organic net sales growth reflects increased demand within its aftermarket replacement parts, repair and overhaul parts and services, and specialty products product lines resulting in net sales increases of $234.0 million, $50.7 million, and $46.4 million, respectively. The net sales increase in the ETG reflects very strong organic growth of 14% and net sales of $140.1 million contributed by fiscal 2026 and 2025 acquisitions. The ETG's organic net sales growth is mainly attributable to increased demand for its other electronics, defense, aerospace, and medical products resulting in net sales increases of $60.0 million, $36.3 million, $31.1 million, and $7.0 million, respectively. Sales price changes were not a significant contributing factor to the change in net sales of the FSG and ETG in the first nine months of fiscal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Gross Profit and Operating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gross profit margin improved to 40.5% in the first nine months of fiscal 2026, up from 39.7% in the first nine months of fiscal 2025, principally reflecting a .7% increase in the FSG’s gross profit margin and a .4% increase in the ETG’s gross profit margin. The increase in the FSG's gross profit margin principally reflects a more favorable product mix within its aftermarket replacement parts product line. The increase in the ETG's gross profit margin principally reflects the previously mentioned higher net sales of its aerospace products, partially offset by a lower proportion of net sales from its space products. Total new product research and development expenses included within our consolidated cost of sales were $104.5 million in the first nine months of fiscal 2026, up from $88.3 million in the first nine months of fiscal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selling, general and administrative ("SG&amp;A") expenses were $639.9 million in the first nine months of fiscal 2026, as compared to $560.6 million in the first nine months of fiscal 2025. The increase in consolidated SG&amp;A expenses reflects $36.1 million attributable to our fiscal 2026 and 2025 acquisitions, a $15.6 million increase in share-based compensation expense, and costs incurred to support the previously mentioned net sales growth, which resulted in increases of $17.9 million and $9.8 million in other selling expenses and other general and administrative expenses,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consolidated SG&amp;A expenses as a percentage of net sales improved to 16.1% in the first nine months of fiscal 2026, down from 17.1% in the first nine months of fiscal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decrease in consolidated SG&amp;A expenses as a percentage of net sales principally reflects efficiencies realized from the previously mentioned net sales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Operating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operating income increased by 30% to a record $965.5 million in the first nine months of fiscal 2026, up from $740.0 million in the first nine months of fiscal 2025. The increase in consolidated operating income principally reflects a $139.7 million increase (a 25% increase) to a record $689.1 million in operating income of the FSG and an $85.3 million increase (a 36% increase) to a record $320.6 million in operating income of the ETG. The increase in operating income of the FSG principally reflects the previously mentioned net sales growth, the previously mentioned improved gross profit margin, and SG&amp;A expense efficiencies realized from the net sales growth. The increase in operating income of the ETG principally reflects the previously mentioned net sales growth, SG&amp;A expense efficiencies realized from the net sales growth, and the previously mentioned improved gross profit margin.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operating income as a percentage of net sales improved to 24.3% in the first nine months of fiscal 2026, up from 22.6% in the first nine months of fiscal 2025. The increase in consolidated operating income as a percentage of net sales principally reflects an increase in the FSG’s operating income as a percentage of net sales to 25.5% in the first nine months of fiscal 2026, up from 24.1% in the first nine months of fiscal 2025, and an increase in the ETG's operating income as a percentage of net sales to 24.4% in the first nine months of fiscal 2026, up from 22.9% in the first nine months of fiscal 2025. The increase in the FSG's operating income as a percentage of net sales reflects the previously mentioned improved gross profit margin and a .7% impact from a decrease in SG&amp;A expenses as a percentage of net sales, mainly due to the previously mentioned SG&amp;A expense efficiencies. The increase in the ETG's operating income as a percentage of net sales reflects a 1.1% impact from a decrease in SG&amp;A expenses as a percentage of net sales, mainly due to the previously mentioned SG&amp;A expense efficiencies, and the previously mentioned improved gross profit margin.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Interest expense was $99.6 million in the first nine months of fiscal 2026, as compared to $97.0 million in the first nine months of fiscal 2025. The increase in interest expense was principally due to an increase in the amount of debt outstanding, partially offset by a lower weighted-average interest rate on outstanding borrowings under our revolving credit facility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Other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Other income in the first nine months of fiscal 2026 and 2025 was not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Income Tax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effective tax rate was 18.4% in the first nine months of fiscal 2026, as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16.0% in the first nine months of fiscal 2025. The increase in our effective tax rate principally reflects a smaller tax benefit from stock option exercises recognized in the first quarter of fiscal 2026. We recognized a discrete tax benefit from stock option exercises in the first quarter of fiscal 2026 and 2025 of $22.3 million and $27.2 million, respectively.</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val="false"/>
          <w:i/>
          <w:color w:val="000000"/>
          <w:sz w:val="24"/>
        </w:rPr>
      </w:pPr>
      <w:r>
        <w:rPr>
          <w:rFonts w:ascii="Times New Roman;serif" w:hAnsi="Times New Roman;serif"/>
          <w:b w:val="false"/>
          <w:i/>
          <w:color w:val="000000"/>
          <w:sz w:val="24"/>
        </w:rPr>
        <w:t>Net Income Attributable to Noncontrolling Interests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$50.1 million in the first nine months of fiscal 2026, as compared to $40.7 million in the first nine months of fiscal 2025. The increase in net income attributable to noncontrolling interests principally reflects improved operating results of certain subsidiaries in which noncontrolling interests are held.</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Income Attributable to HEICO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income attributable to HEICO increased by 31% to a record $659.4 million, or $4.67 per diluted share, in the first nine months of fiscal 2026, up from $502.1 million, or $3.57 per diluted share, in the first nine months of fiscal 2025, principally reflecting the previously mentioned higher consolidated operating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Comparison of Third Quarter of Fiscal 2026 to Third Quarter of Fiscal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net sales in the third quarter of fiscal 2026 increased by 23% to a record $1,413.1 million, up from net sales of $1,147.6 million in the third quarter of fiscal 2025. The increase in consolidated net sales principally reflects an increase of $145.1 million (an 18% increase) to a record $947.8 million in net sales of the FSG and an increase of $127.6 million (a 36% increase) to a record $483.5 million in net sales of the ETG. The net sales increase in the FSG reflects strong organic growth of 12% and net sales of $45.8 million contributed by fiscal 2026 acquisitions. The FSG's organic net sales growth reflects increased demand within its aftermarket replacement parts, specialty products, and repair and overhaul parts and services product lines resulting in net sales increases of $72.1 million, $15.9 million, and $10.4 million, respectively. The net sales increase in the ETG reflects robust organic growth of 18% and net sales of $60.2 million contributed by fiscal 2026 and 2025 acquisitions. The ETG's organic net sales growth is mainly attributable to increased demand for its other electronics, defense, and aerospace products resulting in net sales increases of $29.3 million, $16.3 million, and $9.3 million, respectively. Sales price changes were not a significant contributing factor to the change in net sales of the FSG and ETG in the third quarter of fiscal 2026.</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Gross Profit and Operating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gross profit margin improved to 41.1% in the third quarter of fiscal 2026, up from 39.8% in the third quarter of fiscal 2025, principally reflecting a 1.0% increase in the FSG’s gross profit margin and a .9% increase in the ETG's gross profit margin. The increase in the FSG's gross profit margin principally reflects a more favorable product mix within its specialty products and aftermarket replacement parts product lines. The increase in the ETG's gross profit margin principally reflects the previously mentioned higher net sales of its aerospace products. Total new product research and development expenses included within our consolidated cost of sales were $36.1 million in the third quarter of fiscal 2026, up from $31.9 million in the third quarter of fiscal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SG&amp;A expenses were $225.8 million in the third quarter of fiscal 2026, as compared to $192.1 million in the third quarter of fiscal 2025. The increase in consolidated SG&amp;A expenses reflects $16.8 million attributable to our fiscal 2026 and 2025 acquisitions, $4.3 million of higher share-based compensation expense, and costs incurred to support the previously mentioned net sales growth, which resulted in increases of $6.6 million and $6.1 million in other general and administrative expenses and other selling expenses,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SG&amp;A expenses as a percentage of net sales improved to 16.0% in the third quarter of fiscal 2026, down from 16.7% in the third quarter of fiscal 2025. The decrease in consolidated SG&amp;A expenses as a percentage of net sales principally reflects efficiencies realized from the previously mentioned net sales growth.</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Operating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consolidated operating income increased by 34% to a record $355.2 million in the third quarter of fiscal 2026, up from $265.0 million in the third quarter of fiscal 2025. The increase in consolidated operating income principally reflects a $47.0 million increase (a 24% increase) to a record $245.3 million in operating income of the FSG and a $44.6 million increase (a 55% increase) to a record $125.6 million in operating income of the ETG. The increase in operating income of the FSG principally reflects the previously mentioned net sales growth, the previously mentioned improved gross profit margin, and SG&amp;A expense efficiencies realized from the net sales growth. The increase in operating income of the ETG principally reflects the previously mentioned net sales growth, SG&amp;A expense efficiencies realized from the net sales growth, and the previously mentioned improved gross profit margin.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consolidated operating income as a percentage of net sales improved to 25.1% in the third quarter of fiscal 2026, up from 23.1% in the third quarter of fiscal 2025. The increase in consolidated operating income as a percentage of net sales principally reflects an increase in the ETG’s operating income as a percentage of net sales to 26.0% in the third quarter of fiscal 2026, up from 22.8% in the third quarter of fiscal 2025, and an increase in the FSG's operating income as a percentage of net sales to 25.9% in the third quarter of fiscal 2026, up from 24.7% in the third quarter of fiscal 2025. The increase in the ETG's operating income as a percentage of net sales reflects a 2.3% impact from a decrease in SG&amp;A expenses as a percentage of net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primarily driven by the previously mentioned SG&amp;A expense efficiencies and the previously mentioned improved gross profit margin. The increase in the FSG's operating income as a percentage of net sales principally reflects the previously mentioned improved gross profit margin.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Interest expense was $35.9 million in the third quarter of fiscal 2026, as compared to $31.7 million in the third quarter of fiscal 2025. The increase in interest expense was principally due to an increase in the amount of outstanding debt, partially offset by a lower weighted-average interest rate on borrowings outstanding under our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4"/>
        </w:rPr>
      </w:pPr>
      <w:r>
        <w:rPr>
          <w:rFonts w:ascii="Times New Roman;serif" w:hAnsi="Times New Roman;serif"/>
          <w:b w:val="false"/>
          <w:i/>
          <w:color w:val="000000"/>
          <w:sz w:val="24"/>
        </w:rPr>
        <w:t>Other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Other income in the third quarter of fiscal 2026 and 2025 was not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Income Tax Expense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effective tax rate was 20.6% in the third quarter of fiscal 2026, as compared to 18.9% in the third quarter of fiscal 2025. The increase in our effective tax rate principally reflects a smaller favorable impact from tax-exempt unrealized gains recognized in the cash surrender values of life insurance policies related to the HEICO Corporation Leadership Compensation Plan (the "LCP") in the third quarter of fiscal 2026 as compared to the third quarter of fiscal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Income Attributable to 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income attributable to noncontrolling interests relates to the 20% noncontrolling interest held by Lufthansa Technik AG in HEICO Aerospace Holdings Corp. and the noncontrolling interests held by others in certain subsidiaries of the FSG and ETG. Net income attributable to noncontrolling interests was $19.0 million in the third quarter of fiscal 2026, as compared to $13.3 million in the third quarter of fiscal 2025. The increase in net income attributable to noncontrolling interests principally reflects improved operating results of certain subsidiaries in which noncontrolling interests are held.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Net Income Attributable to HEICO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income attributable to HEICO increased by 33% to a record $235.4 million, or $1.67 per diluted share, in the third quarter of fiscal 2026, up from $177.3 million, or $1.26 per diluted share, in the third quarter of fiscal 2025, principally reflecting the previously mentioned higher consolidated operating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Outlook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the remainder of fiscal 2026, we expect increased net sales at both the FSG and ETG to continue to be supported by underlying demand for our products and contributions from recent acquisitions. We remain focused on identifying and evaluating acquisition opportunities that align with our strategic objectives. Our capital allocation strategy continues to prioritize investments in organic growth and acquisitions while preserving adequate liquidity and financial flexibility.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principal uses of cash include acquisitions, interest payments, capital expenditures, cash dividends, distributions to noncontrolling interests and working capital needs. We continue to estimate fiscal 2026 capital expenditures to be approximately $85 to $95 million. We finance our activities primarily from our operating and financing activities, including borrowings under our Credit Facility. The Credit Facility and senior unsecured notes contain both financial and non-financial covenants. As of July 31, 2026, we were in compliance with all such covenants and our total debt to shareholders’ equity ratio was 50.6%.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 June 11, 2026, we entered into a fourth amendment to our Credit Facility, to, among other things, (i) increase the capacity by $200 million to $2.2 billion, (ii) extend the maturity date to June 11, 2031, (iii) modify the Applicable Rate to be calculated based upon the most recently published ratings for our senior unsecured, non-credit enhanced, long-term indebtedness for borrowed money, and (iv) release our subsidiary guarantors from their guarantees under the Credit Facility. The Credit Facility includes features that will allow us, subject to certain conditions, to (i) increase the capacity by $800 million to become a $3.0 billion facility through increased commitments from existing and/or additional lenders and (ii) request up to two one-year extensions of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our current outlook, we believe that net cash provided by operating activities and available borrowings under our Credit Facility will be sufficient to fund our cash requirements for at least the next twelve months.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Operating Activities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Net cash provided by operating activities was $815.9 million in the first nine months of fiscal 2026 and consisted primarily of net income from consolidated operations of $709.6 million, depreciation and amortization expense of $166.4 million (a non-cash item), $34.4 million in share-based compensation expense (a non-cash item), $17.9 million in employer contributions to the HEICO Savings and Investment Plan (a non-cash item), net changes in other long-term liabilities and assets related to the LCP of $16.2 million (principally participant deferrals and employer contributions), and net changes of $15.1 million included in the "Other" caption (principally the receipt of advance deposits on certain long-term customer contracts), partially offset by a $154.4 million increase in net working capital. The increase in net working capital is inclusive of a $78.4 million increase in inventories to support an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consolidated backlog, a $58.7 million increase in accounts receivable resulting from increased net sales and the timing of collections, and a $33.5 million increase in prepaid expenses and other current assets mainly reflecting deposits placed on future inventory deliveries, partially offset by a $47.3 million increase in trade accounts payable due to the timing of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Net cash provided by operating activities increased by $177.0 million (a 28% increase) in the first nine months of fiscal 2026, up from $638.9 million in the first nine months of fiscal 2025. The increase is principally attributable to a $166.8 million increase in net income from consolidated operations, a $31.5 million increase in the deferred income tax provision, a $21.5 million increase in depreciation and amortization expense, and a $16.1 million increase in share-based compensation expense, partially offset by a $65.9 million increase in net working capital. The increase in net working capital mainly reflects a $48.4 million increase in prepaid expenses and other current assets principally from increased deposits placed on future inventory deliveries and a $22.7 million increase in accounts receivable resulting from the higher net sales.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Investing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cash used in investing activities totaled $1,072.9 million in the first nine months of fiscal 2026 and related primarily to acquisitions of $1,018.2 million, capital expenditures of $54.1 million, and LCP funding of $19.4 million, partially offset by $22.7 million in proceeds from corporate-owned life insurance policy withdrawals within the LCP. Further details regarding our fiscal 2026 acquisitions may be found in Note 2, Acquisitions, of the Notes to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Financing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Net cash provided by financing activities in the first nine months of fiscal 2026 totaled $280.0 million. During the first nine months of fiscal 2026, we received net proceeds of $1,191.5 million from the issuance of senior unsecured notes and borrowed $1,030.7 million under our Credit Facility, which was partially offset by $1,845.7 million in payments made on our Credit Facility, $34.9 million of cash dividends paid on our common stock, $29.3 million of payments to acquire certain noncontrolling interests, and $25.8 million of distributions to noncontrolling interests.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Other Obligations and 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noted below, there have not been any material changes to our other obligations and commitments that were included in our Annual Report on Form 10-K for the year ended October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 July 16, 2026, we completed the public offering of senior unsecured notes, which consisted of $550 million aggregate principal amount of 4.950% Senior Notes due August 1, 2031 (the "2031 Notes") and $650 million aggregate principal amount of 5.400% Senior Notes due August 1, 2036 (the "2036 Notes"). We used the net proceeds from the offering to repay outstanding borrowings under our Credit Facility. Interest on the 2031 Notes and 2036 Notes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payable semi-annually on February 1 and August 1 of each year, commencing February 1, 2027. The 2031 Notes and 2036 Notes have effective interest rates of 5.2% and 5.5%, respectively. See Note 5, Long-Term Debt, to the Condensed Consolidated Financial Statements for additional information.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 Accounting Pronouncements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See Note 1, Summary of Significant Accounting Policies - New Accounting Pronouncements, of the Notes to Condensed Consolidated Financial Statements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Certain statements in this report constitute “forward-looking statements” within the meaning of the Private Securities Litigation Reform Act of 1995. All statements contained herein that are not clearly historical in nature may be forward-looking and the words “anticipate,” “believe,” “expect,” “estimate” and similar expressions are generally intended to identify forward-looking statements. Any forward-looking statement contained herein, in press releases, written statements or other documents filed with the Securities and Exchange Commission or in communications and discussions with investors and analysts in the normal course of business through meetings, phone calls and conference calls, concerning our operations, economic performance and financial condition are subject to risks, uncertainties and contingencies. We have based these forward-looking statements on our current expectations and projections about future events. All forward-looking statements involve risks and uncertainties, many of which are beyond our control, which may cause actual results, performance or achievements to differ materially from anticipated results, performance or achievements. Also, forward-looking statements are based upon management’s estimates of fair values and of future costs, using currently available information. Therefore, actual results may differ materially from those expressed in or implied by those forward-looking statements. Factors that could cause such differences include, among others: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severity, magnitude and duration of public health threats;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Our liquidity and the amount and timing of cash generation;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Lower commercial air travel, airline fleet changes or airline purchasing decisions, which could cause lower demand for our goods and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Product specification costs and requirements, which could cause an increase to our costs to complete contracts;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Governmental and regulatory demands, export policies and restrictions, reductions in defense, space or homeland security spending by U.S. and/or foreign customers or competition from existing and new competitors, which could reduce our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Our ability to introduce new products and services at profitable pricing levels, which could reduce our sales or sales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Product development or manufacturing difficulties, which could increase our product development and manufacturing costs and delay sales;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Cybersecurity events or other disruptions of our information technology systems could adversely affect our business;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For further information on these and other factors that potentially could materially affect our financial results, see Item 1A,</w:t>
      </w:r>
      <w:r>
        <w:rPr>
          <w:color w:val="000000"/>
        </w:rPr>
        <w:t xml:space="preserve"> </w:t>
      </w:r>
      <w:r>
        <w:rPr>
          <w:rFonts w:ascii="Times New Roman;serif" w:hAnsi="Times New Roman;serif"/>
          <w:b w:val="false"/>
          <w:color w:val="000000"/>
          <w:sz w:val="24"/>
        </w:rPr>
        <w:t>"Risk Factors,"</w:t>
      </w:r>
      <w:r>
        <w:rPr>
          <w:color w:val="000000"/>
        </w:rPr>
        <w:t xml:space="preserve"> </w:t>
      </w:r>
      <w:r>
        <w:rPr>
          <w:rFonts w:ascii="Times New Roman;serif" w:hAnsi="Times New Roman;serif"/>
          <w:b w:val="false"/>
          <w:color w:val="000000"/>
          <w:sz w:val="24"/>
        </w:rPr>
        <w:t>of our Annual Report on Form 10-K for the year ended October 31, 2025. We undertake no obligation to publicly update or revise any forward-looking statement, whether as a result of new information, future events or otherwise, except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4"/>
        </w:rPr>
      </w:pPr>
      <w:r>
        <w:rPr>
          <w:rFonts w:ascii="Times New Roman;serif" w:hAnsi="Times New Roman;serif"/>
          <w:b/>
          <w:color w:val="000000"/>
          <w:sz w:val="24"/>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have not been any material changes in our assessment of HEICO’s sensitivity to market risk that was disclosed in Item 7A, “Quantitative and Qualitative Disclosures About Market Risk,” in our Annual Report on Form 10-K for the year ended October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management, with the participation of our Co-Chief Executive Officers and our Chief Financial Officer, evaluated the effectiveness of our disclosure controls and procedures (as defined in Exchange Act Rules 13a-15(e) and 15d-15(e)) as of the end of the period covered by this quarterly report. Based upon that evaluation, our Co-Chief Executive Officers and our Chief Financial Officer concluded that HEICO’s disclosure controls and procedures are effective as of the end of the period covered by this quarterly report.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Changes in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have been no changes in our internal control over financial reporting during the third quarter ended July 31, 2026 that have materially affected, or are reasonably likely to materially affect, HEICO's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None of our directors or officers adopted, modified or terminated a “Rule 10b5-1 trading arrangement” or “non-Rule 10b5-1 trading arrangement,” as each term is defined in Item 408(a) of Regulation S-K, during the third quarter ended July 31,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29"/>
        <w:gridCol w:w="289"/>
        <w:gridCol w:w="291"/>
        <w:gridCol w:w="109"/>
        <w:gridCol w:w="109"/>
        <w:gridCol w:w="109"/>
        <w:gridCol w:w="2737"/>
        <w:gridCol w:w="2577"/>
        <w:gridCol w:w="3655"/>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Description</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4"/>
                  <w:u w:val="single"/>
                </w:rPr>
                <w:t>Indenture, dated July 16, 2026, between HEICO Corporation and Truist Bank, as trustee, is incorporated by reference to Exhibit 4.1 to the Form 8-K filed on July 16, 2026.</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4"/>
                  <w:u w:val="single"/>
                </w:rPr>
                <w:t>First Supplemental Indenture, dated July 16, 2026, between HEICO Corporation and Truist Bank, as trustee, is incorporated by reference to Exhibit 4.2 to the Form 8-K filed on July 16, 2026.</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4"/>
                  <w:u w:val="single"/>
                </w:rPr>
                <w:t>Form of 4.950% Notes due 2031 (form included as Exhibit A to the First Supplemental Indenture</w:t>
              </w:r>
            </w:hyperlink>
            <w:hyperlink r:id="rId5">
              <w:r>
                <w:rPr>
                  <w:rStyle w:val="InternetLink"/>
                  <w:rFonts w:ascii="Times New Roman;serif" w:hAnsi="Times New Roman;serif"/>
                  <w:b w:val="false"/>
                  <w:color w:val="000080"/>
                  <w:sz w:val="24"/>
                  <w:u w:val="single"/>
                </w:rPr>
                <w:t xml:space="preserve"> is</w:t>
              </w:r>
            </w:hyperlink>
            <w:hyperlink r:id="rId6">
              <w:r>
                <w:rPr>
                  <w:rStyle w:val="InternetLink"/>
                  <w:rFonts w:ascii="Times New Roman;serif" w:hAnsi="Times New Roman;serif"/>
                  <w:b w:val="false"/>
                  <w:color w:val="000080"/>
                  <w:sz w:val="24"/>
                  <w:u w:val="single"/>
                </w:rPr>
                <w:t xml:space="preserve"> incorporated by reference as Exhibit 4.2 to the Form 8-K filed on July 16, 2026</w:t>
              </w:r>
            </w:hyperlink>
            <w:hyperlink r:id="rId7">
              <w:r>
                <w:rPr>
                  <w:rStyle w:val="InternetLink"/>
                  <w:rFonts w:ascii="Times New Roman;serif" w:hAnsi="Times New Roman;serif"/>
                  <w:b w:val="false"/>
                  <w:color w:val="000080"/>
                  <w:sz w:val="24"/>
                  <w:u w:val="single"/>
                </w:rPr>
                <w:t>)</w:t>
              </w:r>
            </w:hyperlink>
            <w:hyperlink r:id="rId8">
              <w:r>
                <w:rPr>
                  <w:rStyle w:val="InternetLink"/>
                  <w:rFonts w:ascii="Times New Roman;serif" w:hAnsi="Times New Roman;serif"/>
                  <w:b w:val="false"/>
                  <w:color w:val="000080"/>
                  <w:sz w:val="24"/>
                  <w:u w:val="single"/>
                </w:rPr>
                <w:t>.</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4"/>
                  <w:u w:val="single"/>
                </w:rPr>
                <w:t xml:space="preserve">Form of 5.400% Notes due 2036 (form included as Exhibit B to the First Supplemental Indenture </w:t>
              </w:r>
            </w:hyperlink>
            <w:hyperlink r:id="rId10">
              <w:r>
                <w:rPr>
                  <w:rStyle w:val="InternetLink"/>
                  <w:rFonts w:ascii="Times New Roman;serif" w:hAnsi="Times New Roman;serif"/>
                  <w:b w:val="false"/>
                  <w:color w:val="000080"/>
                  <w:sz w:val="24"/>
                  <w:u w:val="single"/>
                </w:rPr>
                <w:t xml:space="preserve">is </w:t>
              </w:r>
            </w:hyperlink>
            <w:hyperlink r:id="rId11">
              <w:r>
                <w:rPr>
                  <w:rStyle w:val="InternetLink"/>
                  <w:rFonts w:ascii="Times New Roman;serif" w:hAnsi="Times New Roman;serif"/>
                  <w:b w:val="false"/>
                  <w:color w:val="000080"/>
                  <w:sz w:val="24"/>
                  <w:u w:val="single"/>
                </w:rPr>
                <w:t>incorporated by reference as Exhibit 4.2 to the Form 8-K filed on July 16, 2026</w:t>
              </w:r>
            </w:hyperlink>
            <w:hyperlink r:id="rId12">
              <w:r>
                <w:rPr>
                  <w:rStyle w:val="InternetLink"/>
                  <w:rFonts w:ascii="Times New Roman;serif" w:hAnsi="Times New Roman;serif"/>
                  <w:b w:val="false"/>
                  <w:color w:val="000080"/>
                  <w:sz w:val="24"/>
                  <w:u w:val="single"/>
                </w:rPr>
                <w:t>)</w:t>
              </w:r>
            </w:hyperlink>
            <w:hyperlink r:id="rId13">
              <w:r>
                <w:rPr>
                  <w:rStyle w:val="InternetLink"/>
                  <w:rFonts w:ascii="Times New Roman;serif" w:hAnsi="Times New Roman;serif"/>
                  <w:b w:val="false"/>
                  <w:color w:val="000080"/>
                  <w:sz w:val="24"/>
                  <w:u w:val="single"/>
                </w:rPr>
                <w:t>.</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4"/>
                  <w:u w:val="single"/>
                </w:rPr>
                <w:t>Fourth Amendment to Revolving Credit Agreement, effective as of June 11, 2026, among HEICO Corporation, as Borrower, the Lenders from time to time party thereto and Truist Bank (as successor by merger to SunTrust Bank), as Administrative Agent, is incorporated by reference to Exhibit 10.1 to the Form 8-K filed on June 17, 2026.</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hibit311.htm">
              <w:r>
                <w:rPr>
                  <w:rStyle w:val="InternetLink"/>
                  <w:rFonts w:ascii="Times New Roman;serif" w:hAnsi="Times New Roman;serif"/>
                  <w:b w:val="false"/>
                  <w:color w:val="0000FF"/>
                  <w:sz w:val="24"/>
                  <w:u w:val="single"/>
                </w:rPr>
                <w:t>Rule 13a-14(a)/15d-14(a) Certification of Co-Chief Executive Officer.</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hibit312.htm">
              <w:r>
                <w:rPr>
                  <w:rStyle w:val="InternetLink"/>
                  <w:rFonts w:ascii="Times New Roman;serif" w:hAnsi="Times New Roman;serif"/>
                  <w:b w:val="false"/>
                  <w:color w:val="0000FF"/>
                  <w:sz w:val="24"/>
                  <w:u w:val="single"/>
                </w:rPr>
                <w:t>Rule 13a-14(a)/15d-14(a) Certification of Co-Chief Executive Officer.</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hibit313.htm">
              <w:r>
                <w:rPr>
                  <w:rStyle w:val="InternetLink"/>
                  <w:rFonts w:ascii="Times New Roman;serif" w:hAnsi="Times New Roman;serif"/>
                  <w:b w:val="false"/>
                  <w:color w:val="0000FF"/>
                  <w:sz w:val="24"/>
                  <w:u w:val="single"/>
                </w:rPr>
                <w:t>Rule 13a-14(a)/15d-14(a) Certification of Chief Financial Officer.</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hibit321.htm">
              <w:r>
                <w:rPr>
                  <w:rStyle w:val="InternetLink"/>
                  <w:rFonts w:ascii="Times New Roman;serif" w:hAnsi="Times New Roman;serif"/>
                  <w:b w:val="false"/>
                  <w:color w:val="0000FF"/>
                  <w:sz w:val="24"/>
                  <w:u w:val="single"/>
                </w:rPr>
                <w:t>Section 1350 Certification of Co-Chief Executive Officer.</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hibit322.htm">
              <w:r>
                <w:rPr>
                  <w:rStyle w:val="InternetLink"/>
                  <w:rFonts w:ascii="Times New Roman;serif" w:hAnsi="Times New Roman;serif"/>
                  <w:b w:val="false"/>
                  <w:color w:val="0000FF"/>
                  <w:sz w:val="24"/>
                  <w:u w:val="single"/>
                </w:rPr>
                <w:t>Section 1350 Certification of Co-Chief Executive Officer.</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7312026exhibit323.htm">
              <w:r>
                <w:rPr>
                  <w:rStyle w:val="InternetLink"/>
                  <w:rFonts w:ascii="Times New Roman;serif" w:hAnsi="Times New Roman;serif"/>
                  <w:b w:val="false"/>
                  <w:color w:val="0000FF"/>
                  <w:sz w:val="24"/>
                  <w:u w:val="single"/>
                </w:rPr>
                <w:t>Section 1350 Certification of Chief Financial Officer.</w:t>
              </w:r>
            </w:hyperlink>
            <w:r>
              <w:rPr>
                <w:color w:val="000000"/>
              </w:rPr>
              <w:t xml:space="preserve"> </w:t>
            </w:r>
            <w:r>
              <w:rPr>
                <w:rFonts w:ascii="Times New Roman;serif" w:hAnsi="Times New Roman;serif"/>
                <w:b w:val="false"/>
                <w:color w:val="000000"/>
                <w:sz w:val="24"/>
              </w:rPr>
              <w:t>**</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Instance Document - The instance document does not appear in the Interactive Data File because its XBRL tags are embedded within the Inline XBRL Document. *</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Schema Document. *</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Calculation Linkbase Document. *</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Definition Linkbase Document. *</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Labels Linkbase Document. *</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Inline XBRL Taxonomy Extension Presentation Linkbase Document. *</w:t>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(formatted as inline XBRL and contained in Exhibit 101). *</w:t>
            </w:r>
          </w:p>
        </w:tc>
      </w:tr>
      <w:tr>
        <w:trPr/>
        <w:tc>
          <w:tcPr>
            <w:tcW w:w="1236"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Filed herewith.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Furnished herewith.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Previously filed.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493320fda5d4d9db46a1230e6667fb6_10">
        <w:r>
          <w:rPr>
            <w:rStyle w:val="InternetLink"/>
            <w:rFonts w:ascii="Times New Roman;serif" w:hAnsi="Times New Roman;serif"/>
            <w:b w:val="false"/>
            <w:color w:val="0000FF"/>
            <w:sz w:val="20"/>
            <w:u w:val="single"/>
          </w:rPr>
          <w:t>Index</w:t>
        </w:r>
      </w:hyperlink>
    </w:p>
    <w:p>
      <w:pPr>
        <w:pStyle w:val="TextBody"/>
        <w:bidi w:val="0"/>
        <w:spacing w:before="0" w:after="0"/>
        <w:jc w:val="left"/>
        <w:rPr/>
      </w:pPr>
      <w:r>
        <w:rPr/>
      </w:r>
    </w:p>
    <w:p>
      <w:pPr>
        <w:pStyle w:val="TextBody"/>
        <w:bidi w:val="0"/>
        <w:spacing w:lineRule="auto" w:line="288" w:before="0" w:after="0"/>
        <w:ind w:left="0" w:right="0" w:hanging="1395"/>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ind w:left="0" w:right="0" w:hanging="1395"/>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tbl>
      <w:tblPr>
        <w:tblW w:w="9877" w:type="dxa"/>
        <w:jc w:val="center"/>
        <w:tblInd w:w="0" w:type="dxa"/>
        <w:tblLayout w:type="fixed"/>
        <w:tblCellMar>
          <w:top w:w="28" w:type="dxa"/>
          <w:left w:w="28" w:type="dxa"/>
          <w:bottom w:w="28" w:type="dxa"/>
          <w:right w:w="28" w:type="dxa"/>
        </w:tblCellMar>
      </w:tblPr>
      <w:tblGrid>
        <w:gridCol w:w="228"/>
        <w:gridCol w:w="200"/>
        <w:gridCol w:w="202"/>
        <w:gridCol w:w="564"/>
        <w:gridCol w:w="564"/>
        <w:gridCol w:w="566"/>
        <w:gridCol w:w="423"/>
        <w:gridCol w:w="423"/>
        <w:gridCol w:w="423"/>
        <w:gridCol w:w="1839"/>
        <w:gridCol w:w="1839"/>
        <w:gridCol w:w="2606"/>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HEICO CORPORATION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27, 2026</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CARLOS L. MACAU, JR.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Carlos L. Macau, Jr.</w:t>
              <w:br/>
              <w:t>Executive Vice President - Chief Financial Officer and Treasurer</w:t>
              <w:br/>
              <w:t>(Principal Financial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BRADLEY K. ROWEN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Bradley K. Rowen</w:t>
              <w:br/>
              <w:t xml:space="preserve">Chief Accounting Officer </w:t>
              <w:br/>
              <w:t>and Assistant Treasurer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A. Mendelson,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HEICO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270"/>
        <w:jc w:val="left"/>
        <w:rPr/>
      </w:pPr>
      <w:r>
        <w:rPr/>
      </w:r>
    </w:p>
    <w:tbl>
      <w:tblPr>
        <w:tblW w:w="478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812"/>
        <w:gridCol w:w="812"/>
        <w:gridCol w:w="115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A.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A.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Victor H. Mendelson,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HEICO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270"/>
        <w:jc w:val="left"/>
        <w:rPr/>
      </w:pPr>
      <w:r>
        <w:rPr/>
      </w:r>
    </w:p>
    <w:tbl>
      <w:tblPr>
        <w:tblW w:w="478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812"/>
        <w:gridCol w:w="812"/>
        <w:gridCol w:w="115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VICTOR H.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 H. Mendelson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31.3</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Carlos L. Macau, Jr.,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HEICO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270"/>
        <w:jc w:val="left"/>
        <w:rPr/>
      </w:pPr>
      <w:r>
        <w:rPr/>
      </w:r>
    </w:p>
    <w:tbl>
      <w:tblPr>
        <w:tblW w:w="448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27, 2026</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CARLOS L. MACAU,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Carlos L. Macau,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1350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HEICO Corporation (the “Company”) on Form 10-Q for the period ended July 31, 2026 as filed with the Securities and Exchange Commission on the date hereof (the “Report”), I, Eric A. Mendelson,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563" w:type="dxa"/>
        <w:jc w:val="left"/>
        <w:tblInd w:w="0" w:type="dxa"/>
        <w:tblLayout w:type="fixed"/>
        <w:tblCellMar>
          <w:top w:w="28" w:type="dxa"/>
          <w:left w:w="28" w:type="dxa"/>
          <w:bottom w:w="28" w:type="dxa"/>
          <w:right w:w="28" w:type="dxa"/>
        </w:tblCellMar>
      </w:tblPr>
      <w:tblGrid>
        <w:gridCol w:w="228"/>
        <w:gridCol w:w="200"/>
        <w:gridCol w:w="202"/>
        <w:gridCol w:w="564"/>
        <w:gridCol w:w="564"/>
        <w:gridCol w:w="566"/>
        <w:gridCol w:w="949"/>
        <w:gridCol w:w="949"/>
        <w:gridCol w:w="1341"/>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27, 2026</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ERIC A. MENDELSON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Eric A. Mendelson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Co-Chief Executive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1350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HEICO Corporation (the “Company”) on Form 10-Q for the period ended July 31, 2026 as filed with the Securities and Exchange Commission on the date hereof (the “Report”), I, Victor H. Mendelson,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564" w:type="dxa"/>
        <w:jc w:val="left"/>
        <w:tblInd w:w="0" w:type="dxa"/>
        <w:tblLayout w:type="fixed"/>
        <w:tblCellMar>
          <w:top w:w="28" w:type="dxa"/>
          <w:left w:w="28" w:type="dxa"/>
          <w:bottom w:w="28" w:type="dxa"/>
          <w:right w:w="28" w:type="dxa"/>
        </w:tblCellMar>
      </w:tblPr>
      <w:tblGrid>
        <w:gridCol w:w="228"/>
        <w:gridCol w:w="200"/>
        <w:gridCol w:w="202"/>
        <w:gridCol w:w="564"/>
        <w:gridCol w:w="564"/>
        <w:gridCol w:w="566"/>
        <w:gridCol w:w="949"/>
        <w:gridCol w:w="949"/>
        <w:gridCol w:w="1342"/>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27, 2026</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VICTOR H. MENDELSON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Victor H. Mendelson</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Co-Chief Executive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32.3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1350 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HEICO Corporation (the “Company”) on Form 10-Q for the period ended July 31, 2026 as filed with the Securities and Exchange Commission on the date hereof (the “Report”), I, Carlos L. Macau, Jr.,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398" w:type="dxa"/>
        <w:jc w:val="left"/>
        <w:tblInd w:w="0" w:type="dxa"/>
        <w:tblLayout w:type="fixed"/>
        <w:tblCellMar>
          <w:top w:w="28" w:type="dxa"/>
          <w:left w:w="28" w:type="dxa"/>
          <w:bottom w:w="28" w:type="dxa"/>
          <w:right w:w="28" w:type="dxa"/>
        </w:tblCellMar>
      </w:tblPr>
      <w:tblGrid>
        <w:gridCol w:w="228"/>
        <w:gridCol w:w="200"/>
        <w:gridCol w:w="202"/>
        <w:gridCol w:w="564"/>
        <w:gridCol w:w="564"/>
        <w:gridCol w:w="566"/>
        <w:gridCol w:w="898"/>
        <w:gridCol w:w="898"/>
        <w:gridCol w:w="1278"/>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27, 2026</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CARLOS L. MACAU, JR.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Carlos L. Macau, Jr.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tc>
      </w:tr>
    </w:tbl>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6619/000121390026078776/ea029813301ex4-1.htm" TargetMode="External"/><Relationship Id="rId3" Type="http://schemas.openxmlformats.org/officeDocument/2006/relationships/hyperlink" Target="https://www.sec.gov/Archives/edgar/data/46619/000121390026078776/ea029813301ex4-2.htm" TargetMode="External"/><Relationship Id="rId4" Type="http://schemas.openxmlformats.org/officeDocument/2006/relationships/hyperlink" Target="https://www.sec.gov/Archives/edgar/data/46619/000121390026078776/ea029813301ex4-2.htm" TargetMode="External"/><Relationship Id="rId5" Type="http://schemas.openxmlformats.org/officeDocument/2006/relationships/hyperlink" Target="https://www.sec.gov/Archives/edgar/data/46619/000121390026078776/ea029813301ex4-2.htm" TargetMode="External"/><Relationship Id="rId6" Type="http://schemas.openxmlformats.org/officeDocument/2006/relationships/hyperlink" Target="https://www.sec.gov/Archives/edgar/data/46619/000121390026078776/ea029813301ex4-2.htm" TargetMode="External"/><Relationship Id="rId7" Type="http://schemas.openxmlformats.org/officeDocument/2006/relationships/hyperlink" Target="https://www.sec.gov/Archives/edgar/data/46619/000121390026078776/ea029813301ex4-2.htm" TargetMode="External"/><Relationship Id="rId8" Type="http://schemas.openxmlformats.org/officeDocument/2006/relationships/hyperlink" Target="https://www.sec.gov/Archives/edgar/data/46619/000121390026078776/ea029813301ex4-2.htm" TargetMode="External"/><Relationship Id="rId9" Type="http://schemas.openxmlformats.org/officeDocument/2006/relationships/hyperlink" Target="https://www.sec.gov/Archives/edgar/data/46619/000121390026078776/ea029813301ex4-2.htm" TargetMode="External"/><Relationship Id="rId10" Type="http://schemas.openxmlformats.org/officeDocument/2006/relationships/hyperlink" Target="https://www.sec.gov/Archives/edgar/data/46619/000121390026078776/ea029813301ex4-2.htm" TargetMode="External"/><Relationship Id="rId11" Type="http://schemas.openxmlformats.org/officeDocument/2006/relationships/hyperlink" Target="https://www.sec.gov/Archives/edgar/data/46619/000121390026078776/ea029813301ex4-2.htm" TargetMode="External"/><Relationship Id="rId12" Type="http://schemas.openxmlformats.org/officeDocument/2006/relationships/hyperlink" Target="https://www.sec.gov/Archives/edgar/data/46619/000121390026078776/ea029813301ex4-2.htm" TargetMode="External"/><Relationship Id="rId13" Type="http://schemas.openxmlformats.org/officeDocument/2006/relationships/hyperlink" Target="https://www.sec.gov/Archives/edgar/data/46619/000121390026078776/ea029813301ex4-2.htm" TargetMode="External"/><Relationship Id="rId14" Type="http://schemas.openxmlformats.org/officeDocument/2006/relationships/hyperlink" Target="https://www.sec.gov/ix?doc=/Archives/edgar/data/0000046619/000121390026069674/ea0294696-8k_heico.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16904</Words>
  <Characters>97740</Characters>
  <CharactersWithSpaces>113802</CharactersWithSpaces>
  <Paragraphs>2580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