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51" w:lineRule="exact"/>
        <w:rPr>
          <w:sz w:val="24"/>
          <w:szCs w:val="24"/>
          <w:color w:val="auto"/>
        </w:rPr>
      </w:pPr>
    </w:p>
    <w:p>
      <w:pPr>
        <w:ind w:left="500" w:right="1940" w:hanging="444"/>
        <w:spacing w:after="0" w:line="527" w:lineRule="auto"/>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April 30, 2026</w:t>
      </w:r>
    </w:p>
    <w:p>
      <w:pPr>
        <w:ind w:left="500"/>
        <w:spacing w:after="0"/>
        <w:rPr>
          <w:sz w:val="20"/>
          <w:szCs w:val="20"/>
          <w:color w:val="auto"/>
        </w:rPr>
      </w:pPr>
      <w:r>
        <w:rPr>
          <w:rFonts w:ascii="Times New Roman" w:cs="Times New Roman" w:eastAsia="Times New Roman" w:hAnsi="Times New Roman"/>
          <w:sz w:val="17"/>
          <w:szCs w:val="17"/>
          <w:color w:val="auto"/>
        </w:rPr>
        <w:t>OR</w:t>
      </w:r>
    </w:p>
    <w:p>
      <w:pPr>
        <w:spacing w:after="0" w:line="129" w:lineRule="exact"/>
        <w:rPr>
          <w:sz w:val="24"/>
          <w:szCs w:val="24"/>
          <w:color w:val="auto"/>
        </w:rPr>
      </w:pPr>
    </w:p>
    <w:p>
      <w:pPr>
        <w:ind w:left="500" w:hanging="444"/>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For the transition period from ______ to _______</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001-04604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HEICO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81" w:lineRule="exact"/>
        <w:rPr>
          <w:sz w:val="24"/>
          <w:szCs w:val="24"/>
          <w:color w:val="auto"/>
        </w:rPr>
      </w:pPr>
    </w:p>
    <w:tbl>
      <w:tblPr>
        <w:tblLayout w:type="fixed"/>
        <w:tblInd w:w="1800" w:type="dxa"/>
        <w:tblCellMar>
          <w:top w:w="0" w:type="dxa"/>
          <w:left w:w="0" w:type="dxa"/>
          <w:bottom w:w="0" w:type="dxa"/>
          <w:right w:w="0" w:type="dxa"/>
        </w:tblCellMar>
      </w:tblPr>
      <w:tr>
        <w:trPr>
          <w:trHeight w:val="223"/>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65-0341002</w:t>
            </w:r>
          </w:p>
        </w:tc>
      </w:tr>
      <w:tr>
        <w:trPr>
          <w:trHeight w:val="182"/>
        </w:trPr>
        <w:tc>
          <w:tcPr>
            <w:tcW w:w="3880" w:type="dxa"/>
            <w:vAlign w:val="bottom"/>
          </w:tcPr>
          <w:p>
            <w:pPr>
              <w:ind w:left="340"/>
              <w:spacing w:after="0" w:line="182"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3660" w:type="dxa"/>
            <w:vAlign w:val="bottom"/>
          </w:tcPr>
          <w:p>
            <w:pPr>
              <w:jc w:val="center"/>
              <w:ind w:left="1053"/>
              <w:spacing w:after="0" w:line="182" w:lineRule="exact"/>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6"/>
        </w:trPr>
        <w:tc>
          <w:tcPr>
            <w:tcW w:w="3880" w:type="dxa"/>
            <w:vAlign w:val="bottom"/>
          </w:tcPr>
          <w:p>
            <w:pPr>
              <w:jc w:val="center"/>
              <w:ind w:right="107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660" w:type="dxa"/>
            <w:vAlign w:val="bottom"/>
          </w:tcPr>
          <w:p>
            <w:pPr>
              <w:spacing w:after="0"/>
              <w:rPr>
                <w:sz w:val="19"/>
                <w:szCs w:val="19"/>
                <w:color w:val="auto"/>
              </w:rPr>
            </w:pPr>
          </w:p>
        </w:tc>
      </w:tr>
      <w:tr>
        <w:trPr>
          <w:trHeight w:val="319"/>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3000 Taft Street, Hollywood, Florida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33021</w:t>
            </w:r>
          </w:p>
        </w:tc>
      </w:tr>
      <w:tr>
        <w:trPr>
          <w:trHeight w:val="226"/>
        </w:trPr>
        <w:tc>
          <w:tcPr>
            <w:tcW w:w="388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5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(954) 987-4000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1"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10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5"/>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Common Stock, $.01 par value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HEI</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r>
        <w:trPr>
          <w:trHeight w:val="228"/>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Class A Common Stock, $.01 par value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HEI.A</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189" w:lineRule="exact"/>
        <w:rPr>
          <w:sz w:val="24"/>
          <w:szCs w:val="24"/>
          <w:color w:val="auto"/>
        </w:rPr>
      </w:pPr>
    </w:p>
    <w:p>
      <w:pPr>
        <w:jc w:val="both"/>
        <w:ind w:right="180"/>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ind w:right="60"/>
        <w:spacing w:after="0" w:line="25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32" w:lineRule="exact"/>
        <w:rPr>
          <w:sz w:val="24"/>
          <w:szCs w:val="24"/>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p>
    <w:p>
      <w:pPr>
        <w:spacing w:after="0" w:line="64"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06" w:lineRule="exact"/>
        <w:rPr>
          <w:sz w:val="24"/>
          <w:szCs w:val="24"/>
          <w:color w:val="auto"/>
        </w:rPr>
      </w:pPr>
    </w:p>
    <w:p>
      <w:pPr>
        <w:ind w:right="40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each of the registrant’s classes of common stock as of May 27, 2026 is as follows:</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2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Common Stock, $.01 par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55,170,957</w:t>
            </w:r>
          </w:p>
        </w:tc>
        <w:tc>
          <w:tcPr>
            <w:tcW w:w="3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w:t>
            </w:r>
          </w:p>
        </w:tc>
      </w:tr>
      <w:tr>
        <w:trPr>
          <w:trHeight w:val="226"/>
        </w:trPr>
        <w:tc>
          <w:tcPr>
            <w:tcW w:w="62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Class A Common Stock, $.01 par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84,488,320</w:t>
            </w:r>
          </w:p>
        </w:tc>
        <w:tc>
          <w:tcPr>
            <w:tcW w:w="3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w:t>
            </w:r>
          </w:p>
        </w:tc>
      </w:tr>
      <w:tr>
        <w:trPr>
          <w:trHeight w:val="837"/>
        </w:trPr>
        <w:tc>
          <w:tcPr>
            <w:tcW w:w="6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HEICO CORPORATION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QUARTERLY REPORT ON FORM 10-Q</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241"/>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1"/>
                <w:szCs w:val="21"/>
                <w:b w:val="1"/>
                <w:bCs w:val="1"/>
                <w:color w:val="auto"/>
              </w:rPr>
              <w:t>Part I.</w:t>
            </w:r>
          </w:p>
        </w:tc>
        <w:tc>
          <w:tcPr>
            <w:tcW w:w="944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21"/>
                <w:szCs w:val="21"/>
                <w:b w:val="1"/>
                <w:bCs w:val="1"/>
                <w:color w:val="auto"/>
              </w:rPr>
              <w:t>Financial Information</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Item 1.</w:t>
            </w:r>
          </w:p>
        </w:tc>
        <w:tc>
          <w:tcPr>
            <w:tcW w:w="8620" w:type="dxa"/>
            <w:vAlign w:val="bottom"/>
            <w:gridSpan w:val="20"/>
            <w:shd w:val="clear" w:color="auto" w:fill="CCEEFF"/>
          </w:tcPr>
          <w:p>
            <w:pPr>
              <w:ind w:left="240"/>
              <w:spacing w:after="0"/>
              <w:rPr>
                <w:sz w:val="20"/>
                <w:szCs w:val="20"/>
                <w:color w:val="auto"/>
              </w:rPr>
            </w:pPr>
            <w:r>
              <w:rPr>
                <w:rFonts w:ascii="Times New Roman" w:cs="Times New Roman" w:eastAsia="Times New Roman" w:hAnsi="Times New Roman"/>
                <w:sz w:val="21"/>
                <w:szCs w:val="21"/>
                <w:color w:val="0000FF"/>
              </w:rPr>
              <w:t>Financial Statements:</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Balance Sheets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0000FF"/>
            </w:tcBorders>
            <w:gridSpan w:val="8"/>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as of April 30, 2026 and October 31, 2025</w:t>
            </w:r>
          </w:p>
        </w:tc>
        <w:tc>
          <w:tcPr>
            <w:tcW w:w="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Operations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0000FF"/>
            </w:tcBorders>
            <w:gridSpan w:val="12"/>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w w:val="97"/>
              </w:rPr>
              <w:t>for the six and three months ended April 30, 2026 and 2025</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Comprehensive Income (unaudited) for the six and three</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020" w:type="dxa"/>
            <w:vAlign w:val="bottom"/>
            <w:tcBorders>
              <w:top w:val="single" w:sz="8" w:color="0000FF"/>
            </w:tcBorders>
            <w:gridSpan w:val="18"/>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months ended April 30, 2026 and 2025</w:t>
            </w: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Shareholders’ Equity (unaudited) for the six and three</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7800" w:type="dxa"/>
            <w:vAlign w:val="bottom"/>
            <w:tcBorders>
              <w:top w:val="single" w:sz="8" w:color="0000FF"/>
            </w:tcBorders>
            <w:gridSpan w:val="17"/>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months ended April 30, 2026 and 2025</w:t>
            </w:r>
          </w:p>
        </w:tc>
        <w:tc>
          <w:tcPr>
            <w:tcW w:w="580" w:type="dxa"/>
            <w:vAlign w:val="bottom"/>
            <w:tcBorders>
              <w:top w:val="single" w:sz="8" w:color="CCEEFF"/>
            </w:tcBorders>
            <w:gridSpan w:val="2"/>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Condensed Consolidated Statements of Cash Flows (unaudited)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w w:val="94"/>
              </w:rPr>
              <w:t>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0000FF"/>
            </w:tcBorders>
            <w:gridSpan w:val="14"/>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for the six months ended April 30, 2026 and 2025</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CCEEFF"/>
            </w:tcBorders>
            <w:gridSpan w:val="3"/>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Notes to Condensed Consolidated Financial Statements (unaudited)</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w w:val="94"/>
              </w:rPr>
              <w:t>8</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2.</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Management’s Discussion and Analysis of Financial Condition and</w:t>
            </w:r>
          </w:p>
        </w:tc>
        <w:tc>
          <w:tcPr>
            <w:tcW w:w="520" w:type="dxa"/>
            <w:vAlign w:val="bottom"/>
            <w:gridSpan w:val="4"/>
            <w:vMerge w:val="restart"/>
            <w:shd w:val="clear" w:color="auto" w:fill="CCEEFF"/>
          </w:tcPr>
          <w:p>
            <w:pPr>
              <w:jc w:val="center"/>
              <w:ind w:left="196"/>
              <w:spacing w:after="0"/>
              <w:rPr>
                <w:sz w:val="20"/>
                <w:szCs w:val="20"/>
                <w:color w:val="auto"/>
              </w:rPr>
            </w:pPr>
            <w:r>
              <w:rPr>
                <w:rFonts w:ascii="Times New Roman" w:cs="Times New Roman" w:eastAsia="Times New Roman" w:hAnsi="Times New Roman"/>
                <w:sz w:val="21"/>
                <w:szCs w:val="21"/>
                <w:color w:val="0000FF"/>
              </w:rPr>
              <w:t>28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600" w:type="dxa"/>
            <w:vAlign w:val="bottom"/>
            <w:tcBorders>
              <w:top w:val="single" w:sz="8" w:color="0000FF"/>
            </w:tcBorders>
            <w:gridSpan w:val="15"/>
            <w:shd w:val="clear" w:color="auto" w:fill="CCEEFF"/>
          </w:tcPr>
          <w:p>
            <w:pPr>
              <w:ind w:left="320"/>
              <w:spacing w:after="0" w:line="188" w:lineRule="exact"/>
              <w:rPr>
                <w:sz w:val="20"/>
                <w:szCs w:val="20"/>
                <w:color w:val="auto"/>
              </w:rPr>
            </w:pPr>
            <w:r>
              <w:rPr>
                <w:rFonts w:ascii="Times New Roman" w:cs="Times New Roman" w:eastAsia="Times New Roman" w:hAnsi="Times New Roman"/>
                <w:sz w:val="21"/>
                <w:szCs w:val="21"/>
                <w:color w:val="0000FF"/>
              </w:rPr>
              <w:t>Results of Operations</w:t>
            </w:r>
          </w:p>
        </w:tc>
        <w:tc>
          <w:tcPr>
            <w:tcW w:w="2780" w:type="dxa"/>
            <w:vAlign w:val="bottom"/>
            <w:tcBorders>
              <w:top w:val="single" w:sz="8" w:color="CCEEFF"/>
            </w:tcBorders>
            <w:gridSpan w:val="4"/>
            <w:shd w:val="clear" w:color="auto" w:fill="CCEEFF"/>
          </w:tcPr>
          <w:p>
            <w:pPr>
              <w:spacing w:after="0"/>
              <w:rPr>
                <w:sz w:val="19"/>
                <w:szCs w:val="19"/>
                <w:color w:val="auto"/>
              </w:rPr>
            </w:pPr>
          </w:p>
        </w:tc>
        <w:tc>
          <w:tcPr>
            <w:tcW w:w="520" w:type="dxa"/>
            <w:vAlign w:val="bottom"/>
            <w:tcBorders>
              <w:top w:val="single" w:sz="8" w:color="CCEEFF"/>
            </w:tcBorders>
            <w:gridSpan w:val="4"/>
            <w:vMerge w:val="continue"/>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3.</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Quantitative and Qualitative Disclosures About Market Risk</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4.</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Controls and Procedures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gridSpan w:val="2"/>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1"/>
                <w:szCs w:val="21"/>
                <w:b w:val="1"/>
                <w:bCs w:val="1"/>
                <w:color w:val="auto"/>
              </w:rPr>
              <w:t>Part II.</w:t>
            </w:r>
          </w:p>
        </w:tc>
        <w:tc>
          <w:tcPr>
            <w:tcW w:w="9440" w:type="dxa"/>
            <w:vAlign w:val="bottom"/>
            <w:gridSpan w:val="21"/>
            <w:shd w:val="clear" w:color="auto" w:fill="CCEEFF"/>
          </w:tcPr>
          <w:p>
            <w:pPr>
              <w:ind w:left="40"/>
              <w:spacing w:after="0"/>
              <w:rPr>
                <w:sz w:val="20"/>
                <w:szCs w:val="20"/>
                <w:color w:val="auto"/>
              </w:rPr>
            </w:pPr>
            <w:r>
              <w:rPr>
                <w:rFonts w:ascii="Times New Roman" w:cs="Times New Roman" w:eastAsia="Times New Roman" w:hAnsi="Times New Roman"/>
                <w:sz w:val="21"/>
                <w:szCs w:val="21"/>
                <w:b w:val="1"/>
                <w:bCs w:val="1"/>
                <w:color w:val="auto"/>
              </w:rPr>
              <w:t>Other Information</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2.</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E32E1"/>
              </w:rPr>
              <w:t>Unregistered Sales of Equity Securities and Use of Proceeds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41</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E32E1"/>
            </w:tcBorders>
          </w:tcPr>
          <w:p>
            <w:pPr>
              <w:spacing w:after="0"/>
              <w:rPr>
                <w:sz w:val="22"/>
                <w:szCs w:val="22"/>
                <w:color w:val="auto"/>
              </w:rPr>
            </w:pPr>
          </w:p>
        </w:tc>
        <w:tc>
          <w:tcPr>
            <w:tcW w:w="380" w:type="dxa"/>
            <w:vAlign w:val="bottom"/>
            <w:tcBorders>
              <w:top w:val="single" w:sz="8" w:color="0E32E1"/>
            </w:tcBorders>
          </w:tcPr>
          <w:p>
            <w:pPr>
              <w:spacing w:after="0"/>
              <w:rPr>
                <w:sz w:val="22"/>
                <w:szCs w:val="22"/>
                <w:color w:val="auto"/>
              </w:rPr>
            </w:pPr>
          </w:p>
        </w:tc>
        <w:tc>
          <w:tcPr>
            <w:tcW w:w="400" w:type="dxa"/>
            <w:vAlign w:val="bottom"/>
            <w:tcBorders>
              <w:top w:val="single" w:sz="8" w:color="0E32E1"/>
            </w:tcBorders>
          </w:tcPr>
          <w:p>
            <w:pPr>
              <w:spacing w:after="0"/>
              <w:rPr>
                <w:sz w:val="22"/>
                <w:szCs w:val="22"/>
                <w:color w:val="auto"/>
              </w:rPr>
            </w:pPr>
          </w:p>
        </w:tc>
        <w:tc>
          <w:tcPr>
            <w:tcW w:w="940" w:type="dxa"/>
            <w:vAlign w:val="bottom"/>
            <w:tcBorders>
              <w:top w:val="single" w:sz="8" w:color="0E32E1"/>
            </w:tcBorders>
          </w:tcPr>
          <w:p>
            <w:pPr>
              <w:spacing w:after="0"/>
              <w:rPr>
                <w:sz w:val="22"/>
                <w:szCs w:val="22"/>
                <w:color w:val="auto"/>
              </w:rPr>
            </w:pPr>
          </w:p>
        </w:tc>
        <w:tc>
          <w:tcPr>
            <w:tcW w:w="80" w:type="dxa"/>
            <w:vAlign w:val="bottom"/>
            <w:tcBorders>
              <w:top w:val="single" w:sz="8" w:color="0E32E1"/>
            </w:tcBorders>
          </w:tcPr>
          <w:p>
            <w:pPr>
              <w:spacing w:after="0"/>
              <w:rPr>
                <w:sz w:val="22"/>
                <w:szCs w:val="22"/>
                <w:color w:val="auto"/>
              </w:rPr>
            </w:pPr>
          </w:p>
        </w:tc>
        <w:tc>
          <w:tcPr>
            <w:tcW w:w="1440" w:type="dxa"/>
            <w:vAlign w:val="bottom"/>
            <w:tcBorders>
              <w:top w:val="single" w:sz="8" w:color="0E32E1"/>
            </w:tcBorders>
          </w:tcPr>
          <w:p>
            <w:pPr>
              <w:spacing w:after="0"/>
              <w:rPr>
                <w:sz w:val="22"/>
                <w:szCs w:val="22"/>
                <w:color w:val="auto"/>
              </w:rPr>
            </w:pPr>
          </w:p>
        </w:tc>
        <w:tc>
          <w:tcPr>
            <w:tcW w:w="280" w:type="dxa"/>
            <w:vAlign w:val="bottom"/>
            <w:tcBorders>
              <w:top w:val="single" w:sz="8" w:color="0E32E1"/>
            </w:tcBorders>
          </w:tcPr>
          <w:p>
            <w:pPr>
              <w:spacing w:after="0"/>
              <w:rPr>
                <w:sz w:val="22"/>
                <w:szCs w:val="22"/>
                <w:color w:val="auto"/>
              </w:rPr>
            </w:pPr>
          </w:p>
        </w:tc>
        <w:tc>
          <w:tcPr>
            <w:tcW w:w="560" w:type="dxa"/>
            <w:vAlign w:val="bottom"/>
            <w:tcBorders>
              <w:top w:val="single" w:sz="8" w:color="0E32E1"/>
            </w:tcBorders>
          </w:tcPr>
          <w:p>
            <w:pPr>
              <w:spacing w:after="0"/>
              <w:rPr>
                <w:sz w:val="22"/>
                <w:szCs w:val="22"/>
                <w:color w:val="auto"/>
              </w:rPr>
            </w:pPr>
          </w:p>
        </w:tc>
        <w:tc>
          <w:tcPr>
            <w:tcW w:w="60" w:type="dxa"/>
            <w:vAlign w:val="bottom"/>
            <w:tcBorders>
              <w:top w:val="single" w:sz="8" w:color="0E32E1"/>
            </w:tcBorders>
          </w:tcPr>
          <w:p>
            <w:pPr>
              <w:spacing w:after="0"/>
              <w:rPr>
                <w:sz w:val="22"/>
                <w:szCs w:val="22"/>
                <w:color w:val="auto"/>
              </w:rPr>
            </w:pPr>
          </w:p>
        </w:tc>
        <w:tc>
          <w:tcPr>
            <w:tcW w:w="560" w:type="dxa"/>
            <w:vAlign w:val="bottom"/>
            <w:tcBorders>
              <w:top w:val="single" w:sz="8" w:color="0E32E1"/>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5.</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E32E1"/>
              </w:rPr>
              <w:t>Other Events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41</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E32E1"/>
            </w:tcBorders>
          </w:tcPr>
          <w:p>
            <w:pPr>
              <w:spacing w:after="0"/>
              <w:rPr>
                <w:sz w:val="22"/>
                <w:szCs w:val="22"/>
                <w:color w:val="auto"/>
              </w:rPr>
            </w:pPr>
          </w:p>
        </w:tc>
        <w:tc>
          <w:tcPr>
            <w:tcW w:w="380" w:type="dxa"/>
            <w:vAlign w:val="bottom"/>
            <w:tcBorders>
              <w:top w:val="single" w:sz="8" w:color="0E32E1"/>
            </w:tcBorders>
          </w:tcPr>
          <w:p>
            <w:pPr>
              <w:spacing w:after="0"/>
              <w:rPr>
                <w:sz w:val="22"/>
                <w:szCs w:val="22"/>
                <w:color w:val="auto"/>
              </w:rPr>
            </w:pPr>
          </w:p>
        </w:tc>
        <w:tc>
          <w:tcPr>
            <w:tcW w:w="400" w:type="dxa"/>
            <w:vAlign w:val="bottom"/>
            <w:tcBorders>
              <w:top w:val="single" w:sz="8" w:color="0E32E1"/>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1"/>
                <w:szCs w:val="21"/>
                <w:color w:val="auto"/>
              </w:rPr>
              <w:t>Item 6.</w:t>
            </w:r>
          </w:p>
        </w:tc>
        <w:tc>
          <w:tcPr>
            <w:tcW w:w="8620" w:type="dxa"/>
            <w:vAlign w:val="bottom"/>
            <w:gridSpan w:val="20"/>
            <w:shd w:val="clear" w:color="auto" w:fill="CCEEFF"/>
          </w:tcPr>
          <w:p>
            <w:pPr>
              <w:ind w:left="240"/>
              <w:spacing w:after="0" w:line="208" w:lineRule="exact"/>
              <w:rPr>
                <w:sz w:val="20"/>
                <w:szCs w:val="20"/>
                <w:color w:val="auto"/>
              </w:rPr>
            </w:pPr>
            <w:r>
              <w:rPr>
                <w:rFonts w:ascii="Times New Roman" w:cs="Times New Roman" w:eastAsia="Times New Roman" w:hAnsi="Times New Roman"/>
                <w:sz w:val="21"/>
                <w:szCs w:val="21"/>
                <w:color w:val="0000FF"/>
              </w:rPr>
              <w:t>Exhibits</w:t>
            </w: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42</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980" w:type="dxa"/>
            <w:vAlign w:val="bottom"/>
            <w:gridSpan w:val="3"/>
            <w:shd w:val="clear" w:color="auto" w:fill="CCEEFF"/>
          </w:tcPr>
          <w:p>
            <w:pPr>
              <w:ind w:left="20"/>
              <w:spacing w:after="0" w:line="208" w:lineRule="exact"/>
              <w:rPr>
                <w:sz w:val="20"/>
                <w:szCs w:val="20"/>
                <w:color w:val="auto"/>
              </w:rPr>
            </w:pPr>
            <w:r>
              <w:rPr>
                <w:rFonts w:ascii="Times New Roman" w:cs="Times New Roman" w:eastAsia="Times New Roman" w:hAnsi="Times New Roman"/>
                <w:sz w:val="21"/>
                <w:szCs w:val="21"/>
                <w:b w:val="1"/>
                <w:bCs w:val="1"/>
                <w:color w:val="0000FF"/>
                <w:w w:val="98"/>
              </w:rPr>
              <w:t>Signatures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196"/>
              <w:spacing w:after="0" w:line="208" w:lineRule="exact"/>
              <w:rPr>
                <w:sz w:val="20"/>
                <w:szCs w:val="20"/>
                <w:color w:val="auto"/>
              </w:rPr>
            </w:pPr>
            <w:r>
              <w:rPr>
                <w:rFonts w:ascii="Times New Roman" w:cs="Times New Roman" w:eastAsia="Times New Roman" w:hAnsi="Times New Roman"/>
                <w:sz w:val="21"/>
                <w:szCs w:val="21"/>
                <w:color w:val="0000FF"/>
              </w:rPr>
              <w:t>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220980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 FINANCIAL INFORMATION; Item 1.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260" w:type="dxa"/>
            <w:vAlign w:val="bottom"/>
            <w:vMerge w:val="restart"/>
          </w:tcPr>
          <w:p>
            <w:pPr>
              <w:ind w:left="5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6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9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0" w:type="dxa"/>
            <w:vAlign w:val="bottom"/>
          </w:tcPr>
          <w:p>
            <w:pPr>
              <w:spacing w:after="0"/>
              <w:rPr>
                <w:sz w:val="1"/>
                <w:szCs w:val="1"/>
                <w:color w:val="auto"/>
              </w:rPr>
            </w:pPr>
          </w:p>
        </w:tc>
      </w:tr>
      <w:tr>
        <w:trPr>
          <w:trHeight w:val="201"/>
        </w:trPr>
        <w:tc>
          <w:tcPr>
            <w:tcW w:w="7260" w:type="dxa"/>
            <w:vAlign w:val="bottom"/>
            <w:vMerge w:val="continue"/>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$210,335</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$217,781</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734,955</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637,615</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 assets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131,590</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119,257</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Inventories,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1,410,527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1,295,336</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149,069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86,377</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2,636,476</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2,356,366</w:t>
            </w:r>
          </w:p>
        </w:tc>
        <w:tc>
          <w:tcPr>
            <w:tcW w:w="0" w:type="dxa"/>
            <w:vAlign w:val="bottom"/>
          </w:tcPr>
          <w:p>
            <w:pPr>
              <w:spacing w:after="0"/>
              <w:rPr>
                <w:sz w:val="1"/>
                <w:szCs w:val="1"/>
                <w:color w:val="auto"/>
              </w:rPr>
            </w:pPr>
          </w:p>
        </w:tc>
      </w:tr>
      <w:tr>
        <w:trPr>
          <w:trHeight w:val="208"/>
        </w:trPr>
        <w:tc>
          <w:tcPr>
            <w:tcW w:w="7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462,831</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431,710</w:t>
            </w: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4,197,386</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3,661,624</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1,715,157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1,471,440</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580,363</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579,294</w:t>
            </w:r>
          </w:p>
        </w:tc>
        <w:tc>
          <w:tcPr>
            <w:tcW w:w="0" w:type="dxa"/>
            <w:vAlign w:val="bottom"/>
          </w:tcPr>
          <w:p>
            <w:pPr>
              <w:spacing w:after="0"/>
              <w:rPr>
                <w:sz w:val="1"/>
                <w:szCs w:val="1"/>
                <w:color w:val="auto"/>
              </w:rPr>
            </w:pPr>
          </w:p>
        </w:tc>
      </w:tr>
      <w:tr>
        <w:trPr>
          <w:trHeight w:val="239"/>
        </w:trPr>
        <w:tc>
          <w:tcPr>
            <w:tcW w:w="7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$9,592,213</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$8,500,434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450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Trade accounts payable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293,744</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231,040</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594,007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577,624</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Income taxes payable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19,982</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903,582</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832,004</w:t>
            </w:r>
          </w:p>
        </w:tc>
        <w:tc>
          <w:tcPr>
            <w:tcW w:w="0" w:type="dxa"/>
            <w:vAlign w:val="bottom"/>
          </w:tcPr>
          <w:p>
            <w:pPr>
              <w:spacing w:after="0"/>
              <w:rPr>
                <w:sz w:val="1"/>
                <w:szCs w:val="1"/>
                <w:color w:val="auto"/>
              </w:rPr>
            </w:pPr>
          </w:p>
        </w:tc>
      </w:tr>
      <w:tr>
        <w:trPr>
          <w:trHeight w:val="208"/>
        </w:trPr>
        <w:tc>
          <w:tcPr>
            <w:tcW w:w="7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maturities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2,583,888</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2,164,587</w:t>
            </w: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164,584</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107,186</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548,588</w:t>
            </w:r>
          </w:p>
        </w:tc>
        <w:tc>
          <w:tcPr>
            <w:tcW w:w="1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550,124</w:t>
            </w:r>
          </w:p>
        </w:tc>
        <w:tc>
          <w:tcPr>
            <w:tcW w:w="0" w:type="dxa"/>
            <w:vAlign w:val="bottom"/>
          </w:tcPr>
          <w:p>
            <w:pPr>
              <w:spacing w:after="0"/>
              <w:rPr>
                <w:sz w:val="1"/>
                <w:szCs w:val="1"/>
                <w:color w:val="auto"/>
              </w:rPr>
            </w:pPr>
          </w:p>
        </w:tc>
      </w:tr>
      <w:tr>
        <w:trPr>
          <w:trHeight w:val="214"/>
        </w:trPr>
        <w:tc>
          <w:tcPr>
            <w:tcW w:w="7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4,200,642</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3,653,901</w:t>
            </w:r>
          </w:p>
        </w:tc>
        <w:tc>
          <w:tcPr>
            <w:tcW w:w="0" w:type="dxa"/>
            <w:vAlign w:val="bottom"/>
          </w:tcPr>
          <w:p>
            <w:pPr>
              <w:spacing w:after="0"/>
              <w:rPr>
                <w:sz w:val="1"/>
                <w:szCs w:val="1"/>
                <w:color w:val="auto"/>
              </w:rPr>
            </w:pPr>
          </w:p>
        </w:tc>
      </w:tr>
      <w:tr>
        <w:trPr>
          <w:trHeight w:val="188"/>
        </w:trPr>
        <w:tc>
          <w:tcPr>
            <w:tcW w:w="7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 (Note 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536,654</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467,358</w:t>
            </w:r>
          </w:p>
        </w:tc>
        <w:tc>
          <w:tcPr>
            <w:tcW w:w="0" w:type="dxa"/>
            <w:vAlign w:val="bottom"/>
          </w:tcPr>
          <w:p>
            <w:pPr>
              <w:spacing w:after="0"/>
              <w:rPr>
                <w:sz w:val="1"/>
                <w:szCs w:val="1"/>
                <w:color w:val="auto"/>
              </w:rPr>
            </w:pPr>
          </w:p>
        </w:tc>
      </w:tr>
      <w:tr>
        <w:trPr>
          <w:trHeight w:val="136"/>
        </w:trPr>
        <w:tc>
          <w:tcPr>
            <w:tcW w:w="72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per share; 10,000 shares authorized; none issued</w:t>
            </w: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7260" w:type="dxa"/>
            <w:vAlign w:val="bottom"/>
          </w:tcPr>
          <w:p>
            <w:pPr>
              <w:ind w:left="200"/>
              <w:spacing w:after="0" w:line="176" w:lineRule="exact"/>
              <w:rPr>
                <w:sz w:val="20"/>
                <w:szCs w:val="20"/>
                <w:color w:val="auto"/>
              </w:rPr>
            </w:pPr>
            <w:r>
              <w:rPr>
                <w:rFonts w:ascii="Times New Roman" w:cs="Times New Roman" w:eastAsia="Times New Roman" w:hAnsi="Times New Roman"/>
                <w:sz w:val="17"/>
                <w:szCs w:val="17"/>
                <w:color w:val="auto"/>
              </w:rPr>
              <w:t>Common Stock, $.01 par value per share; 150,000 shares authorized; 55,171 and 55,143 shares</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issued and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Class A Common Stock, $.01 par value per share; 150,000 shares authorized; 84,488 and 84,198</w:t>
            </w: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729,863</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650,667</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compensation obligation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8,096</w:t>
            </w:r>
          </w:p>
        </w:tc>
        <w:tc>
          <w:tcPr>
            <w:tcW w:w="0" w:type="dxa"/>
            <w:vAlign w:val="bottom"/>
          </w:tcPr>
          <w:p>
            <w:pPr>
              <w:spacing w:after="0"/>
              <w:rPr>
                <w:sz w:val="1"/>
                <w:szCs w:val="1"/>
                <w:color w:val="auto"/>
              </w:rPr>
            </w:pPr>
          </w:p>
        </w:tc>
      </w:tr>
      <w:tr>
        <w:trPr>
          <w:trHeight w:val="221"/>
        </w:trPr>
        <w:tc>
          <w:tcPr>
            <w:tcW w:w="7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HEICO stock held by irrevocable trust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(8,096)</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(8,096)</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5,581</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4,033,326</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3,647,678</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HEICO shareholders’ equity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4,772,058</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4,305,319</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82,859</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73,856</w:t>
            </w: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4,854,917</w:t>
            </w:r>
          </w:p>
        </w:tc>
        <w:tc>
          <w:tcPr>
            <w:tcW w:w="12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4,379,175</w:t>
            </w:r>
          </w:p>
        </w:tc>
        <w:tc>
          <w:tcPr>
            <w:tcW w:w="0" w:type="dxa"/>
            <w:vAlign w:val="bottom"/>
          </w:tcPr>
          <w:p>
            <w:pPr>
              <w:spacing w:after="0"/>
              <w:rPr>
                <w:sz w:val="1"/>
                <w:szCs w:val="1"/>
                <w:color w:val="auto"/>
              </w:rPr>
            </w:pPr>
          </w:p>
        </w:tc>
      </w:tr>
      <w:tr>
        <w:trPr>
          <w:trHeight w:val="214"/>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$9,592,213</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$8,500,434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80010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 –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360" w:type="dxa"/>
            <w:vAlign w:val="bottom"/>
            <w:gridSpan w:val="4"/>
          </w:tcPr>
          <w:p>
            <w:pPr>
              <w:ind w:left="6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2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$2,554,295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$2,128,042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$1,375,713</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$1,097,820</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1,529,806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1,284,576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806,188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660,016</w:t>
            </w:r>
          </w:p>
        </w:tc>
      </w:tr>
      <w:tr>
        <w:trPr>
          <w:trHeight w:val="221"/>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414,153</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368,509</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219,088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189,652</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1,943,959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1,653,085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1,025,276</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849,668</w:t>
            </w:r>
          </w:p>
        </w:tc>
      </w:tr>
      <w:tr>
        <w:trPr>
          <w:trHeight w:val="227"/>
        </w:trPr>
        <w:tc>
          <w:tcPr>
            <w:tcW w:w="4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610,336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474,957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248,152</w:t>
            </w:r>
          </w:p>
        </w:tc>
      </w:tr>
      <w:tr>
        <w:trPr>
          <w:trHeight w:val="247"/>
        </w:trPr>
        <w:tc>
          <w:tcPr>
            <w:tcW w:w="4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(65,323)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(32,865)</w:t>
            </w: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noncontrolling interests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548,987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411,189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215,923</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93,900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67,200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45,400</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455,087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352,089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170,523</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31,098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27,341</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16,529</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13,730</w:t>
            </w:r>
          </w:p>
        </w:tc>
      </w:tr>
      <w:tr>
        <w:trPr>
          <w:trHeight w:val="227"/>
        </w:trPr>
        <w:tc>
          <w:tcPr>
            <w:tcW w:w="4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HEICO</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$423,989</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$324,748</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$233,801</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$156,793</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3"/>
        </w:trPr>
        <w:tc>
          <w:tcPr>
            <w:tcW w:w="4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HEICO shareholders: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1"/>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47"/>
        </w:trPr>
        <w:tc>
          <w:tcPr>
            <w:tcW w:w="46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139,464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138,921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139,561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139,005</w:t>
            </w:r>
          </w:p>
        </w:tc>
      </w:tr>
      <w:tr>
        <w:trPr>
          <w:trHeight w:val="226"/>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141,049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140,541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141,068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140,599</w:t>
            </w: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COMPREHENSIVE INCOME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332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0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72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4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$455,087</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$352,089</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$250,330</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$170,523</w:t>
            </w:r>
          </w:p>
        </w:tc>
      </w:tr>
      <w:tr>
        <w:trPr>
          <w:trHeight w:val="20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1"/>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55,092</w:t>
            </w:r>
          </w:p>
        </w:tc>
      </w:tr>
      <w:tr>
        <w:trPr>
          <w:trHeight w:val="221"/>
        </w:trPr>
        <w:tc>
          <w:tcPr>
            <w:tcW w:w="4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loss on defined benefit pension plan, net of tax</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6"/>
        </w:trPr>
        <w:tc>
          <w:tcPr>
            <w:tcW w:w="4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Amortization of unrealized loss on defined benefit pension plan,</w:t>
            </w: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6"/>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of tax</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26,279</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55,092</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from consolidated operations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456,062</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378,368</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238,674</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225,615</w:t>
            </w:r>
          </w:p>
        </w:tc>
      </w:tr>
      <w:tr>
        <w:trPr>
          <w:trHeight w:val="214"/>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31,098</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27,341</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16,529</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13,730</w:t>
            </w:r>
          </w:p>
        </w:tc>
      </w:tr>
      <w:tr>
        <w:trPr>
          <w:trHeight w:val="176"/>
        </w:trPr>
        <w:tc>
          <w:tcPr>
            <w:tcW w:w="4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Foreign currency translation adjustments attributable to</w:t>
            </w: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1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15,607</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15,647</w:t>
            </w:r>
          </w:p>
        </w:tc>
      </w:tr>
      <w:tr>
        <w:trPr>
          <w:trHeight w:val="23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HEICO</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$425,880</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$350,413</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$223,067</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$209,968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SHAREHOLDERS’ EQUITY - UNAUDITED</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For the Six Months Ended April 30, 2026 and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39"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60" w:type="dxa"/>
            <w:vAlign w:val="bottom"/>
            <w:gridSpan w:val="3"/>
          </w:tcPr>
          <w:p>
            <w:pPr>
              <w:jc w:val="center"/>
              <w:ind w:right="100"/>
              <w:spacing w:after="0" w:line="116"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08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3"/>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08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20" w:type="dxa"/>
            <w:vAlign w:val="bottom"/>
            <w:gridSpan w:val="3"/>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60" w:type="dxa"/>
            <w:vAlign w:val="bottom"/>
            <w:gridSpan w:val="4"/>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102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6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080" w:type="dxa"/>
            <w:vAlign w:val="bottom"/>
            <w:gridSpan w:val="3"/>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6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Trust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Balances as of October 31, 2025</w:t>
            </w:r>
          </w:p>
        </w:tc>
        <w:tc>
          <w:tcPr>
            <w:tcW w:w="980" w:type="dxa"/>
            <w:vAlign w:val="bottom"/>
            <w:tcBorders>
              <w:top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$467,358</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$650,667</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$3,647,678</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$73,856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$4,379,175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20,899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423,989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435,163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 ($.12 per share)</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(16,724)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for</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acquisitions</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22,517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15,613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interests assumed</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related to acquisitions</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54,696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(16,084)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(12,414)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21,517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(21,517)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(21,517)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682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Balances as of April 30, 2026</w:t>
            </w:r>
          </w:p>
        </w:tc>
        <w:tc>
          <w:tcPr>
            <w:tcW w:w="98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$536,654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$729,863</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$4,033,326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$82,859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$4,854,917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6"/>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6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08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40" w:type="dxa"/>
            <w:vAlign w:val="bottom"/>
            <w:gridSpan w:val="2"/>
          </w:tcPr>
          <w:p>
            <w:pPr>
              <w:spacing w:after="0"/>
              <w:rPr>
                <w:sz w:val="10"/>
                <w:szCs w:val="10"/>
                <w:color w:val="auto"/>
              </w:rPr>
            </w:pPr>
          </w:p>
        </w:tc>
        <w:tc>
          <w:tcPr>
            <w:tcW w:w="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3"/>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60" w:type="dxa"/>
            <w:vAlign w:val="bottom"/>
            <w:gridSpan w:val="3"/>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w w:val="99"/>
              </w:rPr>
              <w:t>Held by</w:t>
            </w:r>
          </w:p>
        </w:tc>
        <w:tc>
          <w:tcPr>
            <w:tcW w:w="1080" w:type="dxa"/>
            <w:vAlign w:val="bottom"/>
            <w:gridSpan w:val="3"/>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tcPr>
          <w:p>
            <w:pPr>
              <w:jc w:val="center"/>
              <w:ind w:right="59"/>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40" w:type="dxa"/>
            <w:vAlign w:val="bottom"/>
            <w:gridSpan w:val="2"/>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2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102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96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rPr>
              <w:t>Irrevocable</w:t>
            </w:r>
          </w:p>
        </w:tc>
        <w:tc>
          <w:tcPr>
            <w:tcW w:w="108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4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8"/>
              </w:rPr>
              <w:t>Shareholders'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40" w:type="dxa"/>
            <w:vAlign w:val="bottom"/>
            <w:gridSpan w:val="2"/>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Balances as of October 31, 2024</w:t>
            </w:r>
          </w:p>
        </w:tc>
        <w:tc>
          <w:tcPr>
            <w:tcW w:w="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$366,156</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$599,399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($26,076)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$3,062,166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$60,529</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$3,697,406</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9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19,460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324,748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8,495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358,908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 ($.11 per share)</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78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13,062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Plan</w:t>
            </w:r>
          </w:p>
        </w:tc>
        <w:tc>
          <w:tcPr>
            <w:tcW w:w="980" w:type="dxa"/>
            <w:vAlign w:val="bottom"/>
            <w:tcBorders>
              <w:right w:val="single" w:sz="8" w:color="auto"/>
            </w:tcBorders>
            <w:vMerge w:val="continue"/>
          </w:tcPr>
          <w:p>
            <w:pPr>
              <w:spacing w:after="0"/>
              <w:rPr>
                <w:sz w:val="14"/>
                <w:szCs w:val="14"/>
                <w:color w:val="auto"/>
              </w:rPr>
            </w:pPr>
          </w:p>
        </w:tc>
        <w:tc>
          <w:tcPr>
            <w:tcW w:w="40" w:type="dxa"/>
            <w:vAlign w:val="bottom"/>
            <w:gridSpan w:val="2"/>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78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Issuance of common stock for an</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acquisition</w:t>
            </w:r>
          </w:p>
        </w:tc>
        <w:tc>
          <w:tcPr>
            <w:tcW w:w="9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Proceeds from stock option</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exercises</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78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interests assumed</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related to acquisitions</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27,877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78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(16,008)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(4,205)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780" w:type="dxa"/>
            <w:vAlign w:val="bottom"/>
            <w:gridSpan w:val="3"/>
          </w:tcPr>
          <w:p>
            <w:pPr>
              <w:spacing w:after="0" w:line="125"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42,809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(42,809)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(42,809)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interests</w:t>
            </w:r>
          </w:p>
        </w:tc>
        <w:tc>
          <w:tcPr>
            <w:tcW w:w="9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382</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Balances as of April 30, 2025</w:t>
            </w:r>
          </w:p>
        </w:tc>
        <w:tc>
          <w:tcPr>
            <w:tcW w:w="9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$436,471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$637,981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$3,328,591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$67,756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$4,035,307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SHAREHOLDERS’ EQUITY - UNAUDITED</w:t>
      </w:r>
    </w:p>
    <w:p>
      <w:pPr>
        <w:spacing w:after="0" w:line="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For the Three Months Ended April 30, 2026 and 2025</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87"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7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08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0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96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102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6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08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60" w:type="dxa"/>
            <w:vAlign w:val="bottom"/>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January 31, 2026</w:t>
            </w:r>
          </w:p>
        </w:tc>
        <w:tc>
          <w:tcPr>
            <w:tcW w:w="96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$464,581</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$659,868</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$18,206</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$3,823,219</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$78,461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$4,581,148</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 (loss)</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11,098</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233,801</w:t>
            </w:r>
          </w:p>
        </w:tc>
        <w:tc>
          <w:tcPr>
            <w:tcW w:w="8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4,509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227,576</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Issuance of common stock for</w:t>
            </w:r>
          </w:p>
        </w:tc>
        <w:tc>
          <w:tcPr>
            <w:tcW w:w="9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acquisitions</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42,268</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42,270</w:t>
            </w:r>
          </w:p>
        </w:tc>
        <w:tc>
          <w:tcPr>
            <w:tcW w:w="0" w:type="dxa"/>
            <w:vAlign w:val="bottom"/>
          </w:tcPr>
          <w:p>
            <w:pPr>
              <w:spacing w:after="0"/>
              <w:rPr>
                <w:sz w:val="1"/>
                <w:szCs w:val="1"/>
                <w:color w:val="auto"/>
              </w:rPr>
            </w:pPr>
          </w:p>
        </w:tc>
      </w:tr>
      <w:tr>
        <w:trPr>
          <w:trHeight w:val="125"/>
        </w:trPr>
        <w:tc>
          <w:tcPr>
            <w:tcW w:w="17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180"/>
              <w:spacing w:after="0" w:line="122"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6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15,613</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0" w:type="dxa"/>
            <w:vAlign w:val="bottom"/>
          </w:tcPr>
          <w:p>
            <w:pPr>
              <w:spacing w:after="0"/>
              <w:rPr>
                <w:sz w:val="1"/>
                <w:szCs w:val="1"/>
                <w:color w:val="auto"/>
              </w:rPr>
            </w:pPr>
          </w:p>
        </w:tc>
      </w:tr>
      <w:tr>
        <w:trPr>
          <w:trHeight w:val="163"/>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Plan</w:t>
            </w:r>
          </w:p>
        </w:tc>
        <w:tc>
          <w:tcPr>
            <w:tcW w:w="9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11,221</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11,221</w:t>
            </w:r>
          </w:p>
        </w:tc>
        <w:tc>
          <w:tcPr>
            <w:tcW w:w="0" w:type="dxa"/>
            <w:vAlign w:val="bottom"/>
          </w:tcPr>
          <w:p>
            <w:pPr>
              <w:spacing w:after="0"/>
              <w:rPr>
                <w:sz w:val="1"/>
                <w:szCs w:val="1"/>
                <w:color w:val="auto"/>
              </w:rPr>
            </w:pPr>
          </w:p>
        </w:tc>
      </w:tr>
      <w:tr>
        <w:trPr>
          <w:trHeight w:val="125"/>
        </w:trPr>
        <w:tc>
          <w:tcPr>
            <w:tcW w:w="17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Proceeds from stock option</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exercises</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0" w:type="dxa"/>
            <w:vAlign w:val="bottom"/>
          </w:tcPr>
          <w:p>
            <w:pPr>
              <w:spacing w:after="0"/>
              <w:rPr>
                <w:sz w:val="1"/>
                <w:szCs w:val="1"/>
                <w:color w:val="auto"/>
              </w:rPr>
            </w:pPr>
          </w:p>
        </w:tc>
      </w:tr>
      <w:tr>
        <w:trPr>
          <w:trHeight w:val="133"/>
        </w:trPr>
        <w:tc>
          <w:tcPr>
            <w:tcW w:w="1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0" w:type="dxa"/>
            <w:vAlign w:val="bottom"/>
          </w:tcPr>
          <w:p>
            <w:pPr>
              <w:spacing w:after="0"/>
              <w:rPr>
                <w:sz w:val="1"/>
                <w:szCs w:val="1"/>
                <w:color w:val="auto"/>
              </w:rPr>
            </w:pPr>
          </w:p>
        </w:tc>
      </w:tr>
      <w:tr>
        <w:trPr>
          <w:trHeight w:val="125"/>
        </w:trPr>
        <w:tc>
          <w:tcPr>
            <w:tcW w:w="17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assumed</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related to acquisitions</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54,696</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25"/>
        </w:trPr>
        <w:tc>
          <w:tcPr>
            <w:tcW w:w="17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(8,342)</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1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23,693</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(23,693)</w:t>
            </w:r>
          </w:p>
        </w:tc>
        <w:tc>
          <w:tcPr>
            <w:tcW w:w="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(23,693)</w:t>
            </w: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0" w:type="dxa"/>
            <w:vAlign w:val="bottom"/>
          </w:tcPr>
          <w:p>
            <w:pPr>
              <w:spacing w:after="0"/>
              <w:rPr>
                <w:sz w:val="1"/>
                <w:szCs w:val="1"/>
                <w:color w:val="auto"/>
              </w:rPr>
            </w:pPr>
          </w:p>
        </w:tc>
      </w:tr>
      <w:tr>
        <w:trPr>
          <w:trHeight w:val="192"/>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April 30, 2026</w:t>
            </w:r>
          </w:p>
        </w:tc>
        <w:tc>
          <w:tcPr>
            <w:tcW w:w="96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$536,654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$729,863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($8,096)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$4,033,326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$82,859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$4,854,917</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HEICO Shareholders' Equity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HEICO Stock</w:t>
            </w:r>
          </w:p>
        </w:tc>
        <w:tc>
          <w:tcPr>
            <w:tcW w:w="10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Held by</w:t>
            </w:r>
          </w:p>
        </w:tc>
        <w:tc>
          <w:tcPr>
            <w:tcW w:w="10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9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70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10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6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Irrevocable</w:t>
            </w:r>
          </w:p>
        </w:tc>
        <w:tc>
          <w:tcPr>
            <w:tcW w:w="10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2"/>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9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4"/>
        </w:trPr>
        <w:tc>
          <w:tcPr>
            <w:tcW w:w="1760" w:type="dxa"/>
            <w:vAlign w:val="bottom"/>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Obligation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Trust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as of January 31, 2025</w:t>
            </w:r>
          </w:p>
        </w:tc>
        <w:tc>
          <w:tcPr>
            <w:tcW w:w="96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$424,083</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$618,622</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($53,586)</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$3,180,102</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$64,201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$3,810,728</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11,887</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53,175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156,793</w:t>
            </w:r>
          </w:p>
        </w:tc>
        <w:tc>
          <w:tcPr>
            <w:tcW w:w="8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3,760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213,728</w:t>
            </w: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Issuance of common stock to</w:t>
            </w:r>
          </w:p>
        </w:tc>
        <w:tc>
          <w:tcPr>
            <w:tcW w:w="9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60" w:type="dxa"/>
            <w:vAlign w:val="bottom"/>
            <w:shd w:val="clear" w:color="auto" w:fill="CCEEFF"/>
          </w:tcPr>
          <w:p>
            <w:pPr>
              <w:ind w:left="180"/>
              <w:spacing w:after="0" w:line="125" w:lineRule="exact"/>
              <w:rPr>
                <w:sz w:val="20"/>
                <w:szCs w:val="20"/>
                <w:color w:val="auto"/>
              </w:rPr>
            </w:pPr>
            <w:r>
              <w:rPr>
                <w:rFonts w:ascii="Times New Roman" w:cs="Times New Roman" w:eastAsia="Times New Roman" w:hAnsi="Times New Roman"/>
                <w:sz w:val="12"/>
                <w:szCs w:val="12"/>
                <w:color w:val="auto"/>
              </w:rPr>
              <w:t>HEICO Savings and Investment</w:t>
            </w:r>
          </w:p>
        </w:tc>
        <w:tc>
          <w:tcPr>
            <w:tcW w:w="9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Plan</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10,383</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10,383</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Proceeds from stock option</w:t>
            </w:r>
          </w:p>
        </w:tc>
        <w:tc>
          <w:tcPr>
            <w:tcW w:w="9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exercises</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4,188</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w:t>
            </w:r>
          </w:p>
        </w:tc>
        <w:tc>
          <w:tcPr>
            <w:tcW w:w="0" w:type="dxa"/>
            <w:vAlign w:val="bottom"/>
          </w:tcPr>
          <w:p>
            <w:pPr>
              <w:spacing w:after="0"/>
              <w:rPr>
                <w:sz w:val="1"/>
                <w:szCs w:val="1"/>
                <w:color w:val="auto"/>
              </w:rPr>
            </w:pP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Redemptions of common stock</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related to stock option exercises</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0" w:type="dxa"/>
            <w:vAlign w:val="bottom"/>
          </w:tcPr>
          <w:p>
            <w:pPr>
              <w:spacing w:after="0"/>
              <w:rPr>
                <w:sz w:val="1"/>
                <w:szCs w:val="1"/>
                <w:color w:val="auto"/>
              </w:rPr>
            </w:pPr>
          </w:p>
        </w:tc>
      </w:tr>
      <w:tr>
        <w:trPr>
          <w:trHeight w:val="125"/>
        </w:trPr>
        <w:tc>
          <w:tcPr>
            <w:tcW w:w="17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assumed</w:t>
            </w:r>
          </w:p>
        </w:tc>
        <w:tc>
          <w:tcPr>
            <w:tcW w:w="9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related to acquisitions</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(7,122)</w:t>
            </w: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25"/>
        </w:trPr>
        <w:tc>
          <w:tcPr>
            <w:tcW w:w="17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Acquisitions of noncontrolling</w:t>
            </w:r>
          </w:p>
        </w:tc>
        <w:tc>
          <w:tcPr>
            <w:tcW w:w="9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176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Adjustments to redemption amount</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60" w:type="dxa"/>
            <w:vAlign w:val="bottom"/>
          </w:tcPr>
          <w:p>
            <w:pPr>
              <w:ind w:left="180"/>
              <w:spacing w:after="0" w:line="125" w:lineRule="exact"/>
              <w:rPr>
                <w:sz w:val="20"/>
                <w:szCs w:val="20"/>
                <w:color w:val="auto"/>
              </w:rPr>
            </w:pPr>
            <w:r>
              <w:rPr>
                <w:rFonts w:ascii="Times New Roman" w:cs="Times New Roman" w:eastAsia="Times New Roman" w:hAnsi="Times New Roman"/>
                <w:sz w:val="12"/>
                <w:szCs w:val="12"/>
                <w:color w:val="auto"/>
              </w:rPr>
              <w:t>of redeemable noncontrolling</w:t>
            </w:r>
          </w:p>
        </w:tc>
        <w:tc>
          <w:tcPr>
            <w:tcW w:w="9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interests</w:t>
            </w: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8,223</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(8,223)</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(8,223)</w:t>
            </w: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Balances as of April 30, 2025</w:t>
            </w:r>
          </w:p>
        </w:tc>
        <w:tc>
          <w:tcPr>
            <w:tcW w:w="960" w:type="dxa"/>
            <w:vAlign w:val="bottom"/>
            <w:tcBorders>
              <w:top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$436,471</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$637,981</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($7,272)</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$3,328,591</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$67,756</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$4,035,307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369570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ind w:left="3580"/>
        <w:spacing w:after="0"/>
        <w:rPr>
          <w:sz w:val="20"/>
          <w:szCs w:val="20"/>
          <w:color w:val="auto"/>
        </w:rPr>
      </w:pPr>
      <w:r>
        <w:rPr>
          <w:rFonts w:ascii="Times New Roman" w:cs="Times New Roman" w:eastAsia="Times New Roman" w:hAnsi="Times New Roman"/>
          <w:sz w:val="19"/>
          <w:szCs w:val="19"/>
          <w:b w:val="1"/>
          <w:bCs w:val="1"/>
          <w:color w:val="auto"/>
        </w:rPr>
        <w:t>HEICO CORPORATION AND SUBSIDIARIES</w:t>
      </w:r>
    </w:p>
    <w:p>
      <w:pPr>
        <w:spacing w:after="0" w:line="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 - 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r>
      <w:tr>
        <w:trPr>
          <w:trHeight w:val="214"/>
        </w:trPr>
        <w:tc>
          <w:tcPr>
            <w:tcW w:w="77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from consolidated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$455,087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$352,089</w:t>
            </w:r>
          </w:p>
        </w:tc>
      </w:tr>
      <w:tr>
        <w:trPr>
          <w:trHeight w:val="169"/>
        </w:trPr>
        <w:tc>
          <w:tcPr>
            <w:tcW w:w="77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Adjustments to reconcile net income from consolidated operations to net cash provided by operating</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234"/>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activities: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107,642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95,102</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10,671</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(17,940)</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Employer contributions to HEICO Savings and Investment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Increase in accrued contingent consideration,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6,766</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21"/>
        </w:trPr>
        <w:tc>
          <w:tcPr>
            <w:tcW w:w="77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Increase in accounts receivable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(40,361)</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Increase in contract 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(12,319)</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Increase in inventories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(46,134)</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(Increase) decrease in prepaid expenses and other current 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Increase in trade accounts payable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29,193</w:t>
            </w:r>
          </w:p>
        </w:tc>
      </w:tr>
      <w:tr>
        <w:trPr>
          <w:trHeight w:val="221"/>
        </w:trPr>
        <w:tc>
          <w:tcPr>
            <w:tcW w:w="7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Decrease in accrued expenses and other current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(39,266)</w:t>
            </w:r>
          </w:p>
        </w:tc>
      </w:tr>
      <w:tr>
        <w:trPr>
          <w:trHeight w:val="221"/>
        </w:trPr>
        <w:tc>
          <w:tcPr>
            <w:tcW w:w="7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(Decrease) increase in income taxes payable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10,599</w:t>
            </w:r>
          </w:p>
        </w:tc>
      </w:tr>
      <w:tr>
        <w:trPr>
          <w:trHeight w:val="169"/>
        </w:trPr>
        <w:tc>
          <w:tcPr>
            <w:tcW w:w="7720" w:type="dxa"/>
            <w:vAlign w:val="bottom"/>
          </w:tcPr>
          <w:p>
            <w:pPr>
              <w:ind w:left="640"/>
              <w:spacing w:after="0" w:line="169" w:lineRule="exact"/>
              <w:rPr>
                <w:sz w:val="20"/>
                <w:szCs w:val="20"/>
                <w:color w:val="auto"/>
              </w:rPr>
            </w:pPr>
            <w:r>
              <w:rPr>
                <w:rFonts w:ascii="Times New Roman" w:cs="Times New Roman" w:eastAsia="Times New Roman" w:hAnsi="Times New Roman"/>
                <w:sz w:val="17"/>
                <w:szCs w:val="17"/>
                <w:color w:val="auto"/>
              </w:rPr>
              <w:t>Net changes in other long-term liabilities and assets related to</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4"/>
        </w:trPr>
        <w:tc>
          <w:tcPr>
            <w:tcW w:w="77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HEICO Leadership Compensation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13,702</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16,555</w:t>
            </w:r>
          </w:p>
        </w:tc>
      </w:tr>
      <w:tr>
        <w:trPr>
          <w:trHeight w:val="221"/>
        </w:trPr>
        <w:tc>
          <w:tcPr>
            <w:tcW w:w="7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31,929</w:t>
            </w:r>
          </w:p>
        </w:tc>
      </w:tr>
      <w:tr>
        <w:trPr>
          <w:trHeight w:val="214"/>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470,570</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407,729</w:t>
            </w:r>
          </w:p>
        </w:tc>
      </w:tr>
      <w:tr>
        <w:trPr>
          <w:trHeight w:val="136"/>
        </w:trPr>
        <w:tc>
          <w:tcPr>
            <w:tcW w:w="77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(821,269)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(286,161)</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(33,299)</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Investments related to HEICO Leadership Compensation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(17,700)</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corporate-owned life insurance policy withdrawals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22,654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r>
      <w:tr>
        <w:trPr>
          <w:trHeight w:val="214"/>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(850,956)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(339,759)</w:t>
            </w:r>
          </w:p>
        </w:tc>
      </w:tr>
      <w:tr>
        <w:trPr>
          <w:trHeight w:val="136"/>
        </w:trPr>
        <w:tc>
          <w:tcPr>
            <w:tcW w:w="77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on revolving credit facility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145,000</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(15,272)</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(17,563)</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of noncontrolling interests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Redemptions of common stock related to stock option exercises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(5,954)</w:t>
            </w:r>
          </w:p>
        </w:tc>
      </w:tr>
      <w:tr>
        <w:trPr>
          <w:trHeight w:val="221"/>
        </w:trPr>
        <w:tc>
          <w:tcPr>
            <w:tcW w:w="7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stock option exercises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5,786</w:t>
            </w:r>
          </w:p>
        </w:tc>
      </w:tr>
      <w:tr>
        <w:trPr>
          <w:trHeight w:val="22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14"/>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371,886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9,263</w:t>
            </w:r>
          </w:p>
        </w:tc>
      </w:tr>
      <w:tr>
        <w:trPr>
          <w:trHeight w:val="136"/>
        </w:trPr>
        <w:tc>
          <w:tcPr>
            <w:tcW w:w="77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21"/>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2,973</w:t>
            </w:r>
          </w:p>
        </w:tc>
      </w:tr>
      <w:tr>
        <w:trPr>
          <w:trHeight w:val="136"/>
        </w:trPr>
        <w:tc>
          <w:tcPr>
            <w:tcW w:w="77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80,206</w:t>
            </w: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217,781</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162,103</w:t>
            </w: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$210,335</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$242,309</w:t>
            </w:r>
          </w:p>
        </w:tc>
      </w:tr>
      <w:tr>
        <w:trPr>
          <w:trHeight w:val="20"/>
        </w:trPr>
        <w:tc>
          <w:tcPr>
            <w:tcW w:w="77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140"/>
          </w:cols>
          <w:pgMar w:left="380" w:top="1361" w:right="3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80010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80" w:top="136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HEICO CORPORATION AND SUBSIDIARIES NOTES TO CONDENSED CONSOLIDATED FINANCIAL STATEMENTS</w:t>
      </w:r>
    </w:p>
    <w:p>
      <w:pPr>
        <w:spacing w:after="0" w:line="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 UNAUDITED</w:t>
      </w:r>
    </w:p>
    <w:p>
      <w:pPr>
        <w:spacing w:after="0" w:line="200" w:lineRule="exact"/>
        <w:rPr>
          <w:sz w:val="20"/>
          <w:szCs w:val="20"/>
          <w:color w:val="auto"/>
        </w:rPr>
      </w:pPr>
    </w:p>
    <w:p>
      <w:pPr>
        <w:spacing w:after="0" w:line="218" w:lineRule="exact"/>
        <w:rPr>
          <w:sz w:val="20"/>
          <w:szCs w:val="20"/>
          <w:color w:val="auto"/>
        </w:rPr>
      </w:pPr>
    </w:p>
    <w:p>
      <w:pPr>
        <w:ind w:right="5400" w:firstLine="4"/>
        <w:spacing w:after="0" w:line="485" w:lineRule="auto"/>
        <w:tabs>
          <w:tab w:leader="none" w:pos="415"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SUMMARY OF SIGNIFICANT ACCOUNTING POLICIES Basis of Presentation</w:t>
      </w:r>
    </w:p>
    <w:p>
      <w:pPr>
        <w:spacing w:after="0" w:line="1" w:lineRule="exact"/>
        <w:rPr>
          <w:sz w:val="20"/>
          <w:szCs w:val="20"/>
          <w:color w:val="auto"/>
        </w:rPr>
      </w:pPr>
    </w:p>
    <w:p>
      <w:pPr>
        <w:ind w:right="140" w:firstLine="623"/>
        <w:spacing w:after="0" w:line="249" w:lineRule="auto"/>
        <w:rPr>
          <w:sz w:val="20"/>
          <w:szCs w:val="20"/>
          <w:color w:val="auto"/>
        </w:rPr>
      </w:pPr>
      <w:r>
        <w:rPr>
          <w:rFonts w:ascii="Times New Roman" w:cs="Times New Roman" w:eastAsia="Times New Roman" w:hAnsi="Times New Roman"/>
          <w:sz w:val="21"/>
          <w:szCs w:val="21"/>
          <w:color w:val="auto"/>
        </w:rPr>
        <w:t>The accompanying unaudited condensed consolidated financial statements of HEICO Corporation and its subsidiaries (collectively, “HEICO,” or the “Company”) have been prepared in conformity with accounting principles generally accepted in the United States of America for interim financial information and in accordance with the instructions to Form 10-Q. Therefore, the condensed consolidated financial statements do not include all information and footnotes normally included in annual consolidated financial statements and should be read in conjunction with the consolidated financial statements and notes thereto included in the Company’s Annual Report on Form 10-K for the year ended October 31, 2025. The October 31, 2025 Condensed Consolidated Balance Sheet has been derived from the Company’s audited consolidated financial statements. In the opinion of management, the unaudited condensed consolidated financial statements contain all adjustments (consisting principally of normal recurring accruals) necessary for a fair presentation of the condensed consolidated balance sheets, statements of operations, statements of comprehensive income, statements of shareholders' equity and statements of cash flows for such interim periods presented. The results of operations for the six months ended</w:t>
      </w:r>
    </w:p>
    <w:p>
      <w:pPr>
        <w:spacing w:after="0" w:line="7" w:lineRule="exact"/>
        <w:rPr>
          <w:sz w:val="20"/>
          <w:szCs w:val="20"/>
          <w:color w:val="auto"/>
        </w:rPr>
      </w:pPr>
    </w:p>
    <w:p>
      <w:pPr>
        <w:ind w:right="3300"/>
        <w:spacing w:after="0" w:line="250" w:lineRule="auto"/>
        <w:rPr>
          <w:sz w:val="20"/>
          <w:szCs w:val="20"/>
          <w:color w:val="auto"/>
        </w:rPr>
      </w:pPr>
      <w:r>
        <w:rPr>
          <w:rFonts w:ascii="Times New Roman" w:cs="Times New Roman" w:eastAsia="Times New Roman" w:hAnsi="Times New Roman"/>
          <w:sz w:val="21"/>
          <w:szCs w:val="21"/>
          <w:color w:val="auto"/>
        </w:rPr>
        <w:t>April 30, 2026 are not necessarily indicative of the results which may be expected for the entire fiscal year.</w:t>
      </w:r>
    </w:p>
    <w:p>
      <w:pPr>
        <w:spacing w:after="0" w:line="200"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21"/>
          <w:szCs w:val="21"/>
          <w:color w:val="auto"/>
        </w:rPr>
        <w:t>The Company has two operating segments: the Flight Support Group (“FSG”), consisting of HEICO Aerospace Holdings Corp. and HEICO Flight Support Corp. ("HFSC") and their respective subsidiaries; and the Electronic Technologies Group (“ETG”), consisting of HEICO Electronic Technologies Corp. ("HEICO Electronic")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New Accounting Pronouncements</w:t>
      </w:r>
    </w:p>
    <w:p>
      <w:pPr>
        <w:spacing w:after="0" w:line="243" w:lineRule="exact"/>
        <w:rPr>
          <w:sz w:val="20"/>
          <w:szCs w:val="20"/>
          <w:color w:val="auto"/>
        </w:rPr>
      </w:pPr>
    </w:p>
    <w:p>
      <w:pPr>
        <w:ind w:firstLine="623"/>
        <w:spacing w:after="0" w:line="252" w:lineRule="auto"/>
        <w:rPr>
          <w:sz w:val="20"/>
          <w:szCs w:val="20"/>
          <w:color w:val="auto"/>
        </w:rPr>
      </w:pPr>
      <w:r>
        <w:rPr>
          <w:rFonts w:ascii="Times New Roman" w:cs="Times New Roman" w:eastAsia="Times New Roman" w:hAnsi="Times New Roman"/>
          <w:sz w:val="21"/>
          <w:szCs w:val="21"/>
          <w:color w:val="auto"/>
        </w:rPr>
        <w:t>In December 2023, the FASB issued ASU 2023-09, “Income Taxes (Topic 740): Improvements to Income Tax Disclosures,” which requires disclosure of specific categories in the annual effective tax rate reconciliation table and further disaggregation for reconciling items that meet a quantitative threshold. The ASU also requires the disaggregation of income taxes paid by jurisdiction. ASU 2023-09 may be applied either prospectively or retrospectively and is effective for fiscal years beginning after December 15, 2024, or in fiscal 2026 for HEICO. Early adoption is permitted. The adoption of this guidance will not affect the Company's consolidated results of operations, financial position or cash flows and the Company is currently evaluating the effect the guidance will have on its disclosures.</w:t>
      </w:r>
    </w:p>
    <w:p>
      <w:pPr>
        <w:spacing w:after="0" w:line="198" w:lineRule="exact"/>
        <w:rPr>
          <w:sz w:val="20"/>
          <w:szCs w:val="20"/>
          <w:color w:val="auto"/>
        </w:rPr>
      </w:pPr>
    </w:p>
    <w:p>
      <w:pPr>
        <w:jc w:val="both"/>
        <w:ind w:right="740" w:firstLine="623"/>
        <w:spacing w:after="0" w:line="266" w:lineRule="auto"/>
        <w:rPr>
          <w:sz w:val="20"/>
          <w:szCs w:val="20"/>
          <w:color w:val="auto"/>
        </w:rPr>
      </w:pPr>
      <w:r>
        <w:rPr>
          <w:rFonts w:ascii="Times New Roman" w:cs="Times New Roman" w:eastAsia="Times New Roman" w:hAnsi="Times New Roman"/>
          <w:sz w:val="21"/>
          <w:szCs w:val="21"/>
          <w:color w:val="auto"/>
        </w:rPr>
        <w:t>In November 2024, the FASB issued ASU 2024-03, “Income Statement - Reporting Comprehensive Income - Expense Disaggregation Disclosures (Subtopic 220-40): Disaggregation of Income Statement Expenses,” which requires more detailed disclosures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1"/>
          <w:szCs w:val="21"/>
          <w:color w:val="auto"/>
        </w:rPr>
        <w:t>specified categories of expenses (including purchases of inventory, employee compensation, intangible asset amortization, and depreciation) included in certain expense captions presented on the face of the income statement (such as cost of sales and selling, general and administrative "SG&amp;A" expenses). ASU 2024-03 is effective for fiscal years beginning after December 15, 2026, or in fiscal 2028 for HEICO, and interim reporting periods within fiscal years beginning one year later. Early adoption is permitted. The adoption of this guidance will not affect the Company's consolidated results of operations, financial position or cash flows and the Company is currently evaluating the effect the guidance will have on its disclosures.</w:t>
      </w:r>
    </w:p>
    <w:p>
      <w:pPr>
        <w:spacing w:after="0" w:line="200" w:lineRule="exact"/>
        <w:rPr>
          <w:sz w:val="20"/>
          <w:szCs w:val="20"/>
          <w:color w:val="auto"/>
        </w:rPr>
      </w:pPr>
    </w:p>
    <w:p>
      <w:pPr>
        <w:spacing w:after="0" w:line="229" w:lineRule="exact"/>
        <w:rPr>
          <w:sz w:val="20"/>
          <w:szCs w:val="20"/>
          <w:color w:val="auto"/>
        </w:rPr>
      </w:pPr>
    </w:p>
    <w:p>
      <w:pPr>
        <w:ind w:left="400" w:hanging="396"/>
        <w:spacing w:after="0"/>
        <w:tabs>
          <w:tab w:leader="none" w:pos="4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ACQUISITIONS</w:t>
      </w:r>
    </w:p>
    <w:p>
      <w:pPr>
        <w:spacing w:after="0" w:line="243" w:lineRule="exact"/>
        <w:rPr>
          <w:sz w:val="20"/>
          <w:szCs w:val="20"/>
          <w:color w:val="auto"/>
        </w:rPr>
      </w:pPr>
    </w:p>
    <w:p>
      <w:pPr>
        <w:ind w:right="20" w:firstLine="623"/>
        <w:spacing w:after="0" w:line="255" w:lineRule="auto"/>
        <w:rPr>
          <w:sz w:val="20"/>
          <w:szCs w:val="20"/>
          <w:color w:val="auto"/>
        </w:rPr>
      </w:pPr>
      <w:r>
        <w:rPr>
          <w:rFonts w:ascii="Times New Roman" w:cs="Times New Roman" w:eastAsia="Times New Roman" w:hAnsi="Times New Roman"/>
          <w:sz w:val="21"/>
          <w:szCs w:val="21"/>
          <w:color w:val="auto"/>
        </w:rPr>
        <w:t>In January 2026, the Company, through HEICO Electronic, acquired 100% of the equity of Axillon Aerospace’s Fuel Containment Business, which following the acquisition, was renamed Rockmart Fuel Containment, LLC (“Rockmart”). Rockmart designs and manufactures advanced fuel containment solutions, primarily for military fixed- and rotary-wing aircraft. The purchase price of this acquisition was paid in cash, using proceeds from the Company's revolving credit facility and is not material or significant to the Company's condensed consolidated financial statements.</w:t>
      </w:r>
    </w:p>
    <w:p>
      <w:pPr>
        <w:spacing w:after="0" w:line="197" w:lineRule="exact"/>
        <w:rPr>
          <w:sz w:val="20"/>
          <w:szCs w:val="20"/>
          <w:color w:val="auto"/>
        </w:rPr>
      </w:pPr>
    </w:p>
    <w:p>
      <w:pPr>
        <w:ind w:firstLine="623"/>
        <w:spacing w:after="0" w:line="253" w:lineRule="auto"/>
        <w:rPr>
          <w:sz w:val="20"/>
          <w:szCs w:val="20"/>
          <w:color w:val="auto"/>
        </w:rPr>
      </w:pPr>
      <w:r>
        <w:rPr>
          <w:rFonts w:ascii="Times New Roman" w:cs="Times New Roman" w:eastAsia="Times New Roman" w:hAnsi="Times New Roman"/>
          <w:sz w:val="21"/>
          <w:szCs w:val="21"/>
          <w:color w:val="auto"/>
        </w:rPr>
        <w:t>In February 2026, the Company, through a subsidiary of HFSC, acquired 100% of the membership interests of EthosEnergy Accessories and Components, LLC and 100% of the stock of EthosEnergy Accessories and Components, Limited (collectively, “Ethos”). Ethos provides repair solutions for engine components and accessories for various aeroderivative, aerospace, and defense engine platforms. The purchase price of this acquisition was paid with a combination of cash, using proceeds from the Company's revolving credit facility, and through the issuance of 95,483 shares of HEICO Class A Common Stock and is not material or significant to the Company's condensed consolidated financial statements.</w:t>
      </w:r>
    </w:p>
    <w:p>
      <w:pPr>
        <w:spacing w:after="0" w:line="199" w:lineRule="exact"/>
        <w:rPr>
          <w:sz w:val="20"/>
          <w:szCs w:val="20"/>
          <w:color w:val="auto"/>
        </w:rPr>
      </w:pPr>
    </w:p>
    <w:p>
      <w:pPr>
        <w:ind w:right="60" w:firstLine="623"/>
        <w:spacing w:after="0" w:line="252" w:lineRule="auto"/>
        <w:rPr>
          <w:sz w:val="20"/>
          <w:szCs w:val="20"/>
          <w:color w:val="auto"/>
        </w:rPr>
      </w:pPr>
      <w:r>
        <w:rPr>
          <w:rFonts w:ascii="Times New Roman" w:cs="Times New Roman" w:eastAsia="Times New Roman" w:hAnsi="Times New Roman"/>
          <w:sz w:val="21"/>
          <w:szCs w:val="21"/>
          <w:color w:val="auto"/>
        </w:rPr>
        <w:t>In April 2026, the Company, through a subsidiary of HFSC, acquired 80% of the stock of Sherwood Avionics and Accessories, Inc. (“Sherwood”). Sherwood is an FAA and EASA Part 145 repair station specializing in the maintenance, repair and overhaul of complex, mission-critical mechanical and electro-mechanical components for defense and select commercial aviation platforms. The remaining 20% interest will continue to be owned by certain members of Sherwood's management team. See Note 3, Selected Financial Statement Information - Redeemable Noncontrolling Interests, for additional information. The purchase price of this acquisition was paid with a combination of cash, using proceeds from the Company's revolving credit facility, and through the issuance of 86,474 shares of HEICO Class A Common Stock and is not material or significant to the Company's condensed consolidated financial statements.</w:t>
      </w:r>
    </w:p>
    <w:p>
      <w:pPr>
        <w:spacing w:after="0" w:line="204" w:lineRule="exact"/>
        <w:rPr>
          <w:sz w:val="20"/>
          <w:szCs w:val="20"/>
          <w:color w:val="auto"/>
        </w:rPr>
      </w:pPr>
    </w:p>
    <w:p>
      <w:pPr>
        <w:ind w:right="40" w:firstLine="623"/>
        <w:spacing w:after="0" w:line="254" w:lineRule="auto"/>
        <w:rPr>
          <w:sz w:val="20"/>
          <w:szCs w:val="20"/>
          <w:color w:val="auto"/>
        </w:rPr>
      </w:pPr>
      <w:r>
        <w:rPr>
          <w:rFonts w:ascii="Times New Roman" w:cs="Times New Roman" w:eastAsia="Times New Roman" w:hAnsi="Times New Roman"/>
          <w:sz w:val="21"/>
          <w:szCs w:val="21"/>
          <w:color w:val="auto"/>
        </w:rPr>
        <w:t>In April 2026, the Company, through a subsidiary of HEICO Electronic, acquired 90% of the stock of Southwest Antennas, Inc. (“SWA”). SWA designs and manufactures high-performance rugged and mission-critical antennas primarily for ground-based defense and law enforcement applications. The remaining 10% interest will continue to be owned by a member of SWA's management team. See Note 3, Selected Financial Statement Information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0"/>
          <w:szCs w:val="20"/>
          <w:color w:val="auto"/>
        </w:rPr>
        <w:t>Redeemable Noncontrolling Interests, for additional information. The total consideration includes an accrual of $2.7 million as of the acquisition date representing the estimated fair value of contingent consideration the Company may be obligated to pay should SWA meet a certain earnings objective following the acquisition. See Note 8, Fair Value Measurements, for additional information regarding the Company's contingent consideration obligation. The purchase price of this acquisition was paid in cash, using proceeds from the Company's revolving credit facility and is not material or significant to the Company's condensed consolidated financial statements.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following table summarizes the aggregate total consideration for the Company's fiscal 2026 acquisitions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paid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$827,609</w:t>
            </w:r>
          </w:p>
        </w:tc>
      </w:tr>
      <w:tr>
        <w:trPr>
          <w:trHeight w:val="24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Less: cash acquired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(4,762)</w:t>
            </w:r>
          </w:p>
        </w:tc>
      </w:tr>
      <w:tr>
        <w:trPr>
          <w:trHeight w:val="24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paid, net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822,847</w:t>
            </w:r>
          </w:p>
        </w:tc>
      </w:tr>
      <w:tr>
        <w:trPr>
          <w:trHeight w:val="247"/>
        </w:trPr>
        <w:tc>
          <w:tcPr>
            <w:tcW w:w="95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Issuance of common stock for acquisitions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42,270</w:t>
            </w:r>
          </w:p>
        </w:tc>
      </w:tr>
      <w:tr>
        <w:trPr>
          <w:trHeight w:val="24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Contingent consideration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2,695</w:t>
            </w:r>
          </w:p>
        </w:tc>
      </w:tr>
      <w:tr>
        <w:trPr>
          <w:trHeight w:val="24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Additional purchase consideration</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(8,299)</w:t>
            </w:r>
          </w:p>
        </w:tc>
      </w:tr>
      <w:tr>
        <w:trPr>
          <w:trHeight w:val="265"/>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consideration</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$859,513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623"/>
        <w:spacing w:after="0" w:line="259" w:lineRule="auto"/>
        <w:rPr>
          <w:sz w:val="20"/>
          <w:szCs w:val="20"/>
          <w:color w:val="auto"/>
        </w:rPr>
      </w:pPr>
      <w:r>
        <w:rPr>
          <w:rFonts w:ascii="Times New Roman" w:cs="Times New Roman" w:eastAsia="Times New Roman" w:hAnsi="Times New Roman"/>
          <w:sz w:val="21"/>
          <w:szCs w:val="21"/>
          <w:color w:val="auto"/>
        </w:rPr>
        <w:t>The following table summarizes the allocation of the aggregate total consideration for the Company's fiscal 2026 acquisitions to the estimated fair values of the tangible and identifiable intangible assets acquired and liabilities and noncontrolling interests assumed (in thousands):</w:t>
      </w:r>
    </w:p>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137400" cy="156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5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Goodwill</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$542,378</w:t>
            </w:r>
          </w:p>
        </w:tc>
      </w:tr>
      <w:tr>
        <w:trPr>
          <w:trHeight w:val="249"/>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Customer relationships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178,700</w:t>
            </w:r>
          </w:p>
        </w:tc>
      </w:tr>
      <w:tr>
        <w:trPr>
          <w:trHeight w:val="247"/>
        </w:trPr>
        <w:tc>
          <w:tcPr>
            <w:tcW w:w="95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Intellectual property</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121,400</w:t>
            </w:r>
          </w:p>
        </w:tc>
      </w:tr>
      <w:tr>
        <w:trPr>
          <w:trHeight w:val="247"/>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Inventories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73,887</w:t>
            </w:r>
          </w:p>
        </w:tc>
      </w:tr>
      <w:tr>
        <w:trPr>
          <w:trHeight w:val="247"/>
        </w:trPr>
        <w:tc>
          <w:tcPr>
            <w:tcW w:w="95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Accounts receivable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31,813</w:t>
            </w:r>
          </w:p>
        </w:tc>
      </w:tr>
      <w:tr>
        <w:trPr>
          <w:trHeight w:val="247"/>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Property, plant and equipment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24,611</w:t>
            </w:r>
          </w:p>
        </w:tc>
      </w:tr>
      <w:tr>
        <w:trPr>
          <w:trHeight w:val="247"/>
        </w:trPr>
        <w:tc>
          <w:tcPr>
            <w:tcW w:w="95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Trade names</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21,221</w:t>
            </w:r>
          </w:p>
        </w:tc>
      </w:tr>
      <w:tr>
        <w:trPr>
          <w:trHeight w:val="247"/>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Other assets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19,103</w:t>
            </w:r>
          </w:p>
        </w:tc>
      </w:tr>
      <w:tr>
        <w:trPr>
          <w:trHeight w:val="240"/>
        </w:trPr>
        <w:tc>
          <w:tcPr>
            <w:tcW w:w="9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9"/>
                <w:szCs w:val="19"/>
                <w:color w:val="auto"/>
              </w:rPr>
              <w:t>Total assets acquired, excluding cash</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1,013,113</w:t>
            </w:r>
          </w:p>
        </w:tc>
      </w:tr>
      <w:tr>
        <w:trPr>
          <w:trHeight w:val="240"/>
        </w:trPr>
        <w:tc>
          <w:tcPr>
            <w:tcW w:w="95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47"/>
        </w:trPr>
        <w:tc>
          <w:tcPr>
            <w:tcW w:w="95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Liabilities assumed:</w:t>
            </w:r>
          </w:p>
        </w:tc>
        <w:tc>
          <w:tcPr>
            <w:tcW w:w="1720" w:type="dxa"/>
            <w:vAlign w:val="bottom"/>
          </w:tcPr>
          <w:p>
            <w:pPr>
              <w:spacing w:after="0"/>
              <w:rPr>
                <w:sz w:val="21"/>
                <w:szCs w:val="21"/>
                <w:color w:val="auto"/>
              </w:rPr>
            </w:pPr>
          </w:p>
        </w:tc>
      </w:tr>
      <w:tr>
        <w:trPr>
          <w:trHeight w:val="247"/>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Deferred income taxes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49,928</w:t>
            </w:r>
          </w:p>
        </w:tc>
      </w:tr>
      <w:tr>
        <w:trPr>
          <w:trHeight w:val="247"/>
        </w:trPr>
        <w:tc>
          <w:tcPr>
            <w:tcW w:w="95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Accrued 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20,645</w:t>
            </w:r>
          </w:p>
        </w:tc>
      </w:tr>
      <w:tr>
        <w:trPr>
          <w:trHeight w:val="247"/>
        </w:trPr>
        <w:tc>
          <w:tcPr>
            <w:tcW w:w="9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Accounts payable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13,130</w:t>
            </w:r>
          </w:p>
        </w:tc>
      </w:tr>
      <w:tr>
        <w:trPr>
          <w:trHeight w:val="247"/>
        </w:trPr>
        <w:tc>
          <w:tcPr>
            <w:tcW w:w="95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9"/>
                <w:szCs w:val="19"/>
                <w:color w:val="auto"/>
              </w:rPr>
              <w:t>Other liabilities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15,201</w:t>
            </w:r>
          </w:p>
        </w:tc>
      </w:tr>
      <w:tr>
        <w:trPr>
          <w:trHeight w:val="240"/>
        </w:trPr>
        <w:tc>
          <w:tcPr>
            <w:tcW w:w="9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9"/>
                <w:szCs w:val="19"/>
                <w:color w:val="auto"/>
              </w:rPr>
              <w:t>Total liabilities assumed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98,904</w:t>
            </w:r>
          </w:p>
        </w:tc>
      </w:tr>
      <w:tr>
        <w:trPr>
          <w:trHeight w:val="240"/>
        </w:trPr>
        <w:tc>
          <w:tcPr>
            <w:tcW w:w="95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7"/>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Noncontrolling interests in consolidated subsidiaries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54,696</w:t>
            </w:r>
          </w:p>
        </w:tc>
      </w:tr>
      <w:tr>
        <w:trPr>
          <w:trHeight w:val="240"/>
        </w:trPr>
        <w:tc>
          <w:tcPr>
            <w:tcW w:w="95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2"/>
        </w:trPr>
        <w:tc>
          <w:tcPr>
            <w:tcW w:w="9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Net assets acquired, excluding cash</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$859,513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20"/>
          <w:szCs w:val="20"/>
          <w:color w:val="auto"/>
        </w:rPr>
        <w:t>The allocation of the total consideration for the fiscal 2026 acquisitions to the tangible and identifiable intangible assets acquired and liabilities and noncontrolling interests assumed is preliminary until the Company obtains final information regarding their fair values. However, the Company does not expect any adjustment to such allocation to be material to the Company's consolidated financial statements. The primary items that generated the goodwill recognized were the premiums paid by the Company for the future earnings potential of the businesses acquired and the value of their assembled workforces that do not qualify for separate recognition, which, in the case of Sherwood and SWA benefit both the Company and the noncontrolling interest holders. The fair value of the noncontrolling interests in these entities was determined based on the consideration paid by the Company for its controlling ownership interests, which the Company concluded represented the best estimate of fair value. The weighted-average amortization periods of the customer relationships, intellectual property, and trade names acquired are 12 years, 15 years, and indefinite,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623"/>
        <w:spacing w:after="0" w:line="254" w:lineRule="auto"/>
        <w:rPr>
          <w:sz w:val="20"/>
          <w:szCs w:val="20"/>
          <w:color w:val="auto"/>
        </w:rPr>
      </w:pPr>
      <w:r>
        <w:rPr>
          <w:rFonts w:ascii="Times New Roman" w:cs="Times New Roman" w:eastAsia="Times New Roman" w:hAnsi="Times New Roman"/>
          <w:sz w:val="21"/>
          <w:szCs w:val="21"/>
          <w:color w:val="auto"/>
        </w:rPr>
        <w:t>The operating results of the fiscal 2026 acquisitions were included in the Company's results of operations as of each effective acquisition date. The amount of net sales and earnings of the fiscal 2026 acquisitions included in the Condensed Consolidated Statement of Operations for the six and three months ended April 30, 2026 is not material. Had the fiscal 2026 acquisitions occurred as of November 1, 2024, net sales on a pro forma basis for the six and three months ended April 30, 2026 would have been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$2,634.8 million and $1,391.5 million, respectively, and pro forma net income from consolidated operations, net income attributable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and basic and diluted net income per share attributable to HEICO shareholders for the six and three months ended April 30,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 would not have been materially different than the reported amounts. Had the fiscal 2026 acquisitions occurred as of November 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2024, net sales on a pro forma basis for the six and three months ended April 30, 2025 would have been $2,249.0 million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$1,158.9 million, respectively, and pro forma net income from consolidated operations, net income attributable to HEICO, and basic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diluted net income per share attributable to HEICO shareholders for the six and three months ended April 30, 2025 would not have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been materially different than the reported amounts.</w:t>
      </w:r>
    </w:p>
    <w:p>
      <w:pPr>
        <w:spacing w:after="0" w:line="200" w:lineRule="exact"/>
        <w:rPr>
          <w:sz w:val="20"/>
          <w:szCs w:val="20"/>
          <w:color w:val="auto"/>
        </w:rPr>
      </w:pPr>
    </w:p>
    <w:p>
      <w:pPr>
        <w:spacing w:after="0" w:line="244" w:lineRule="exact"/>
        <w:rPr>
          <w:sz w:val="20"/>
          <w:szCs w:val="20"/>
          <w:color w:val="auto"/>
        </w:rPr>
      </w:pPr>
    </w:p>
    <w:p>
      <w:pPr>
        <w:ind w:right="5580" w:firstLine="4"/>
        <w:spacing w:after="0" w:line="377" w:lineRule="auto"/>
        <w:tabs>
          <w:tab w:leader="none" w:pos="415"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SELECTED FINANCIAL STATEMENT INFORMATION Accounts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280" w:type="dxa"/>
            <w:vAlign w:val="bottom"/>
            <w:tcBorders>
              <w:top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Pr>
          <w:p>
            <w:pPr>
              <w:spacing w:after="0"/>
              <w:rPr>
                <w:sz w:val="21"/>
                <w:szCs w:val="21"/>
                <w:color w:val="auto"/>
              </w:rPr>
            </w:pPr>
          </w:p>
        </w:tc>
        <w:tc>
          <w:tcPr>
            <w:tcW w:w="228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Accounts receivable</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$746,429</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$647,864</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Less: Allowance for doubtful accounts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(11,474)</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(10,249)</w:t>
            </w:r>
          </w:p>
        </w:tc>
      </w:tr>
      <w:tr>
        <w:trPr>
          <w:trHeight w:val="26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Accounts receivable,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$734,955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$637,615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Inventories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280" w:type="dxa"/>
            <w:vAlign w:val="bottom"/>
            <w:tcBorders>
              <w:top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Pr>
          <w:p>
            <w:pPr>
              <w:spacing w:after="0"/>
              <w:rPr>
                <w:sz w:val="21"/>
                <w:szCs w:val="21"/>
                <w:color w:val="auto"/>
              </w:rPr>
            </w:pPr>
          </w:p>
        </w:tc>
        <w:tc>
          <w:tcPr>
            <w:tcW w:w="228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Finished products</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$747,912</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$715,286</w:t>
            </w:r>
          </w:p>
        </w:tc>
      </w:tr>
      <w:tr>
        <w:trPr>
          <w:trHeight w:val="24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Work in process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142,901</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119,611</w:t>
            </w:r>
          </w:p>
        </w:tc>
      </w:tr>
      <w:tr>
        <w:trPr>
          <w:trHeight w:val="24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Materials, parts, assemblies and supplies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519,714</w:t>
            </w:r>
          </w:p>
        </w:tc>
        <w:tc>
          <w:tcPr>
            <w:tcW w:w="120" w:type="dxa"/>
            <w:vAlign w:val="bottom"/>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460,439</w:t>
            </w:r>
          </w:p>
        </w:tc>
      </w:tr>
      <w:tr>
        <w:trPr>
          <w:trHeight w:val="24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Inventories, net of valuation reserves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$1,410,527</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$1,295,336</w:t>
            </w:r>
          </w:p>
        </w:tc>
      </w:tr>
      <w:tr>
        <w:trPr>
          <w:trHeight w:val="20"/>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Property, Plant and Equipment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 thousands)</w:t>
            </w:r>
          </w:p>
        </w:tc>
        <w:tc>
          <w:tcPr>
            <w:tcW w:w="2280" w:type="dxa"/>
            <w:vAlign w:val="bottom"/>
            <w:tcBorders>
              <w:top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Pr>
          <w:p>
            <w:pPr>
              <w:spacing w:after="0"/>
              <w:rPr>
                <w:sz w:val="21"/>
                <w:szCs w:val="21"/>
                <w:color w:val="auto"/>
              </w:rPr>
            </w:pPr>
          </w:p>
        </w:tc>
        <w:tc>
          <w:tcPr>
            <w:tcW w:w="228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Land</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$96,935</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$85,134</w:t>
            </w:r>
          </w:p>
        </w:tc>
      </w:tr>
      <w:tr>
        <w:trPr>
          <w:trHeight w:val="24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Buildings and improvements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258,355</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255,776</w:t>
            </w:r>
          </w:p>
        </w:tc>
      </w:tr>
      <w:tr>
        <w:trPr>
          <w:trHeight w:val="24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Machinery, equipment and tooling</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513,844</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476,735</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Construction in progress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29,609</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21,812</w:t>
            </w:r>
          </w:p>
        </w:tc>
      </w:tr>
      <w:tr>
        <w:trPr>
          <w:trHeight w:val="240"/>
        </w:trPr>
        <w:tc>
          <w:tcPr>
            <w:tcW w:w="6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898,743</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839,457</w:t>
            </w:r>
          </w:p>
        </w:tc>
      </w:tr>
      <w:tr>
        <w:trPr>
          <w:trHeight w:val="247"/>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(435,912)</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(407,747)</w:t>
            </w:r>
          </w:p>
        </w:tc>
      </w:tr>
      <w:tr>
        <w:trPr>
          <w:trHeight w:val="26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$462,831</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$431,710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Accrued Customer Rebates and Credits</w:t>
      </w:r>
    </w:p>
    <w:p>
      <w:pPr>
        <w:spacing w:after="0" w:line="243" w:lineRule="exact"/>
        <w:rPr>
          <w:sz w:val="20"/>
          <w:szCs w:val="20"/>
          <w:color w:val="auto"/>
        </w:rPr>
      </w:pPr>
    </w:p>
    <w:p>
      <w:pPr>
        <w:jc w:val="both"/>
        <w:ind w:right="20" w:firstLine="623"/>
        <w:spacing w:after="0" w:line="270" w:lineRule="auto"/>
        <w:rPr>
          <w:sz w:val="20"/>
          <w:szCs w:val="20"/>
          <w:color w:val="auto"/>
        </w:rPr>
      </w:pPr>
      <w:r>
        <w:rPr>
          <w:rFonts w:ascii="Times New Roman" w:cs="Times New Roman" w:eastAsia="Times New Roman" w:hAnsi="Times New Roman"/>
          <w:sz w:val="20"/>
          <w:szCs w:val="20"/>
          <w:color w:val="auto"/>
        </w:rPr>
        <w:t>The aggregate amount of accrued customer rebates and credits included within accrued expenses and other current liabilities in the accompanying Condensed Consolidated Balance Sheets was $34.4 million as of April 30, 2026 and $30.7 million as of October 31, 2025. The total customer rebates and credits deducted within net sales for the six months ended April 30, 2026 and 2025 was</w:t>
      </w:r>
    </w:p>
    <w:p>
      <w:pPr>
        <w:spacing w:after="0" w:line="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21"/>
          <w:szCs w:val="21"/>
          <w:color w:val="auto"/>
        </w:rPr>
        <w:t>$10.9 million and $7.9 million, respectively. The total customer rebates and credits deducted within net sales for the three months ended April 30, 2026 and 2025 was $4.5 million and $3.6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Research and Development Expenses</w:t>
      </w:r>
    </w:p>
    <w:p>
      <w:pPr>
        <w:spacing w:after="0" w:line="243" w:lineRule="exact"/>
        <w:rPr>
          <w:sz w:val="20"/>
          <w:szCs w:val="20"/>
          <w:color w:val="auto"/>
        </w:rPr>
      </w:pPr>
    </w:p>
    <w:p>
      <w:pPr>
        <w:ind w:right="60" w:firstLine="623"/>
        <w:spacing w:after="0" w:line="265" w:lineRule="auto"/>
        <w:rPr>
          <w:sz w:val="20"/>
          <w:szCs w:val="20"/>
          <w:color w:val="auto"/>
        </w:rPr>
      </w:pPr>
      <w:r>
        <w:rPr>
          <w:rFonts w:ascii="Times New Roman" w:cs="Times New Roman" w:eastAsia="Times New Roman" w:hAnsi="Times New Roman"/>
          <w:sz w:val="21"/>
          <w:szCs w:val="21"/>
          <w:color w:val="auto"/>
        </w:rPr>
        <w:t>The amount of new product research and development ("R&amp;D") expenses included in cost of sales for the six and three months ended April 30, 2026 and 2025 is as follows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980" w:type="dxa"/>
            <w:vAlign w:val="bottom"/>
          </w:tcPr>
          <w:p>
            <w:pPr>
              <w:spacing w:after="0"/>
              <w:rPr>
                <w:sz w:val="22"/>
                <w:szCs w:val="22"/>
                <w:color w:val="auto"/>
              </w:rPr>
            </w:pPr>
          </w:p>
        </w:tc>
        <w:tc>
          <w:tcPr>
            <w:tcW w:w="3660" w:type="dxa"/>
            <w:vAlign w:val="bottom"/>
            <w:gridSpan w:val="4"/>
          </w:tcPr>
          <w:p>
            <w:pPr>
              <w:ind w:left="68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580" w:type="dxa"/>
            <w:vAlign w:val="bottom"/>
            <w:gridSpan w:val="3"/>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r>
      <w:tr>
        <w:trPr>
          <w:trHeight w:val="243"/>
        </w:trPr>
        <w:tc>
          <w:tcPr>
            <w:tcW w:w="398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6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R&amp;D expenses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$68,363</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$56,346</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$36,423</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$28,741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Redeemable Noncontrolling Interests</w:t>
      </w:r>
    </w:p>
    <w:p>
      <w:pPr>
        <w:spacing w:after="0" w:line="243" w:lineRule="exact"/>
        <w:rPr>
          <w:sz w:val="20"/>
          <w:szCs w:val="20"/>
          <w:color w:val="auto"/>
        </w:rPr>
      </w:pPr>
    </w:p>
    <w:p>
      <w:pPr>
        <w:ind w:right="160" w:firstLine="623"/>
        <w:spacing w:after="0" w:line="251" w:lineRule="auto"/>
        <w:rPr>
          <w:sz w:val="20"/>
          <w:szCs w:val="20"/>
          <w:color w:val="auto"/>
        </w:rPr>
      </w:pPr>
      <w:r>
        <w:rPr>
          <w:rFonts w:ascii="Times New Roman" w:cs="Times New Roman" w:eastAsia="Times New Roman" w:hAnsi="Times New Roman"/>
          <w:sz w:val="21"/>
          <w:szCs w:val="21"/>
          <w:color w:val="auto"/>
        </w:rPr>
        <w:t>The holders of equity interests in certain of the Company's subsidiaries have rights ("Put Rights") that may be exercised on varying dates causing the Company to purchase their equity interests through fiscal 2036. The Put Rights, all of which relate either to common shares or membership interests in limited liability companies, provide that the cash consideration to be paid for their equity interests (the "Redemption Amount") be at fair value or a formula that management intended to reasonably approximate fair value based solely on a multiple of future earnings over a measurement period. Management's estimate of the aggregate Redemption Amount of all Put Rights that the Company could be required to pay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60" w:type="dxa"/>
            <w:vAlign w:val="bottom"/>
          </w:tcPr>
          <w:p>
            <w:pPr>
              <w:spacing w:after="0"/>
              <w:rPr>
                <w:sz w:val="22"/>
                <w:szCs w:val="22"/>
                <w:color w:val="auto"/>
              </w:rPr>
            </w:pPr>
          </w:p>
        </w:tc>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3"/>
        </w:trPr>
        <w:tc>
          <w:tcPr>
            <w:tcW w:w="6560" w:type="dxa"/>
            <w:vAlign w:val="bottom"/>
            <w:tcBorders>
              <w:bottom w:val="single" w:sz="8" w:color="CCEEFF"/>
            </w:tcBorders>
          </w:tcPr>
          <w:p>
            <w:pPr>
              <w:spacing w:after="0"/>
              <w:rPr>
                <w:sz w:val="21"/>
                <w:szCs w:val="21"/>
                <w:color w:val="auto"/>
              </w:rPr>
            </w:pPr>
          </w:p>
        </w:tc>
        <w:tc>
          <w:tcPr>
            <w:tcW w:w="228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Borders>
              <w:bottom w:val="single" w:sz="8" w:color="CCEEFF"/>
            </w:tcBorders>
          </w:tcPr>
          <w:p>
            <w:pPr>
              <w:spacing w:after="0"/>
              <w:rPr>
                <w:sz w:val="21"/>
                <w:szCs w:val="21"/>
                <w:color w:val="auto"/>
              </w:rPr>
            </w:pPr>
          </w:p>
        </w:tc>
        <w:tc>
          <w:tcPr>
            <w:tcW w:w="22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Redeemable at fair value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$433,581</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$356,850</w:t>
            </w:r>
          </w:p>
        </w:tc>
      </w:tr>
      <w:tr>
        <w:trPr>
          <w:trHeight w:val="247"/>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Redeemable based on a multiple of future earnings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103,073</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110,508</w:t>
            </w:r>
          </w:p>
        </w:tc>
      </w:tr>
      <w:tr>
        <w:trPr>
          <w:trHeight w:val="26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Redeemable noncontrolling interests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$536,654</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$467,358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both"/>
        <w:ind w:right="360" w:firstLine="623"/>
        <w:spacing w:after="0" w:line="259" w:lineRule="auto"/>
        <w:rPr>
          <w:sz w:val="20"/>
          <w:szCs w:val="20"/>
          <w:color w:val="auto"/>
        </w:rPr>
      </w:pPr>
      <w:r>
        <w:rPr>
          <w:rFonts w:ascii="Times New Roman" w:cs="Times New Roman" w:eastAsia="Times New Roman" w:hAnsi="Times New Roman"/>
          <w:sz w:val="21"/>
          <w:szCs w:val="21"/>
          <w:color w:val="auto"/>
        </w:rPr>
        <w:t>During fiscal 2022, the holder of a 19.9% noncontrolling equity interest in a subsidiary of HFSC that was acquired in fiscal 2015 exercised their option to cause the Company to purchase their noncontrolling interest over a four-year period ending in fiscal 2026. Accordingly, the Company acquired the remaining equity interest in December 2025.</w:t>
      </w:r>
    </w:p>
    <w:p>
      <w:pPr>
        <w:spacing w:after="0" w:line="192" w:lineRule="exact"/>
        <w:rPr>
          <w:sz w:val="20"/>
          <w:szCs w:val="20"/>
          <w:color w:val="auto"/>
        </w:rPr>
      </w:pPr>
    </w:p>
    <w:p>
      <w:pPr>
        <w:ind w:right="260" w:firstLine="623"/>
        <w:spacing w:after="0" w:line="259" w:lineRule="auto"/>
        <w:rPr>
          <w:sz w:val="20"/>
          <w:szCs w:val="20"/>
          <w:color w:val="auto"/>
        </w:rPr>
      </w:pPr>
      <w:r>
        <w:rPr>
          <w:rFonts w:ascii="Times New Roman" w:cs="Times New Roman" w:eastAsia="Times New Roman" w:hAnsi="Times New Roman"/>
          <w:sz w:val="21"/>
          <w:szCs w:val="21"/>
          <w:color w:val="auto"/>
        </w:rPr>
        <w:t>During fiscal 2024, the holders of a 15% noncontrolling equity interest in a subsidiary of the ETG that was acquired in fiscal 2019 exercised their option to cause the Company to purchase their noncontrolling interest over a four-year period ending in fiscal 2027. In March 2026, the Company acquired an additional one-fourth of such interest, which increased the Company's ownership interest in the subsidiary to 96.25%.</w:t>
      </w:r>
    </w:p>
    <w:p>
      <w:pPr>
        <w:spacing w:after="0" w:line="191" w:lineRule="exact"/>
        <w:rPr>
          <w:sz w:val="20"/>
          <w:szCs w:val="20"/>
          <w:color w:val="auto"/>
        </w:rPr>
      </w:pPr>
    </w:p>
    <w:p>
      <w:pPr>
        <w:ind w:right="160" w:firstLine="623"/>
        <w:spacing w:after="0" w:line="259" w:lineRule="auto"/>
        <w:rPr>
          <w:sz w:val="20"/>
          <w:szCs w:val="20"/>
          <w:color w:val="auto"/>
        </w:rPr>
      </w:pPr>
      <w:r>
        <w:rPr>
          <w:rFonts w:ascii="Times New Roman" w:cs="Times New Roman" w:eastAsia="Times New Roman" w:hAnsi="Times New Roman"/>
          <w:sz w:val="21"/>
          <w:szCs w:val="21"/>
          <w:color w:val="auto"/>
        </w:rPr>
        <w:t>As discussed in Note 2, Acquisitions, the Company, through a subsidiary of HFSC, acquired 80% of the stock of Sherwood in April 2026. As part of the shareholders' agreement, the noncontrolling interest holders have the right to cause the Company to purchase their equity interest over a four-year period beginning in fiscal 2031, or sooner under certain conditions, and the Company has the right to purchase the same equity interest over the same period.</w:t>
      </w:r>
    </w:p>
    <w:p>
      <w:pPr>
        <w:spacing w:after="0" w:line="204" w:lineRule="exact"/>
        <w:rPr>
          <w:sz w:val="20"/>
          <w:szCs w:val="20"/>
          <w:color w:val="auto"/>
        </w:rPr>
      </w:pPr>
    </w:p>
    <w:p>
      <w:pPr>
        <w:jc w:val="both"/>
        <w:ind w:right="240" w:firstLine="623"/>
        <w:spacing w:after="0" w:line="259" w:lineRule="auto"/>
        <w:rPr>
          <w:sz w:val="20"/>
          <w:szCs w:val="20"/>
          <w:color w:val="auto"/>
        </w:rPr>
      </w:pPr>
      <w:r>
        <w:rPr>
          <w:rFonts w:ascii="Times New Roman" w:cs="Times New Roman" w:eastAsia="Times New Roman" w:hAnsi="Times New Roman"/>
          <w:sz w:val="21"/>
          <w:szCs w:val="21"/>
          <w:color w:val="auto"/>
        </w:rPr>
        <w:t>As discussed in Note 2, Acquisitions, the Company, through a subsidiary of HEICO Electronic, acquired 90% of the stock of SWA in April 2026. As part of the shareholders' agreement, the noncontrolling interest holder has the right to cause the Company to purchase their equity interest over a four-year period beginning in fiscal 2033, or sooner under certain conditions, and the Company has the right to purchase the same equity interest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firstLine="623"/>
        <w:spacing w:after="0" w:line="259" w:lineRule="auto"/>
        <w:rPr>
          <w:sz w:val="20"/>
          <w:szCs w:val="20"/>
          <w:color w:val="auto"/>
        </w:rPr>
      </w:pPr>
      <w:r>
        <w:rPr>
          <w:rFonts w:ascii="Times New Roman" w:cs="Times New Roman" w:eastAsia="Times New Roman" w:hAnsi="Times New Roman"/>
          <w:sz w:val="21"/>
          <w:szCs w:val="21"/>
          <w:color w:val="auto"/>
        </w:rPr>
        <w:t>During fiscal 2025, the holder of a 19.9% noncontrolling equity interest in a subsidiary of HFSC that was acquired in fiscal 2006 exercised their option to cause the Company to purchase their noncontrolling interest over a four-year period ending in fiscal 2028. In April 2026, the Company acquired an additional one-fourth of such interest, which increased the Company's ownership interest in the subsidiary to 90.05%.</w:t>
      </w:r>
    </w:p>
    <w:p>
      <w:pPr>
        <w:spacing w:after="0" w:line="217"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21"/>
          <w:szCs w:val="21"/>
          <w:color w:val="auto"/>
        </w:rPr>
        <w:t>During fiscal 2026, the holder of a 10% noncontrolling equity interest in a subsidiary of HEICO Electronic that was acquired in fiscal 2023 exercised their option to cause the Company to purchase a portion of their noncontrolling interest. In April 2026, the Company acquired 9% of such interest, which increased the Company's ownership interest in the subsidiary to 99%.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Accumulated Other Comprehensive Income</w:t>
      </w:r>
    </w:p>
    <w:p>
      <w:pPr>
        <w:spacing w:after="0" w:line="269" w:lineRule="exact"/>
        <w:rPr>
          <w:sz w:val="20"/>
          <w:szCs w:val="20"/>
          <w:color w:val="auto"/>
        </w:rPr>
      </w:pPr>
    </w:p>
    <w:p>
      <w:pPr>
        <w:ind w:right="640" w:firstLine="623"/>
        <w:spacing w:after="0" w:line="265" w:lineRule="auto"/>
        <w:rPr>
          <w:sz w:val="20"/>
          <w:szCs w:val="20"/>
          <w:color w:val="auto"/>
        </w:rPr>
      </w:pPr>
      <w:r>
        <w:rPr>
          <w:rFonts w:ascii="Times New Roman" w:cs="Times New Roman" w:eastAsia="Times New Roman" w:hAnsi="Times New Roman"/>
          <w:sz w:val="21"/>
          <w:szCs w:val="21"/>
          <w:color w:val="auto"/>
        </w:rPr>
        <w:t>Changes in the components of accumulated other comprehensive income for the six months ended April 30, 2026 are as follows (in thousands):</w:t>
      </w: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9"/>
              </w:rPr>
              <w:t>Foreign Currency</w:t>
            </w: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9"/>
              </w:rPr>
              <w:t>Defined Benefit Pension</w:t>
            </w:r>
          </w:p>
        </w:tc>
        <w:tc>
          <w:tcPr>
            <w:tcW w:w="2000" w:type="dxa"/>
            <w:vAlign w:val="bottom"/>
          </w:tcPr>
          <w:p>
            <w:pPr>
              <w:jc w:val="center"/>
              <w:spacing w:after="0" w:line="196" w:lineRule="exact"/>
              <w:rPr>
                <w:sz w:val="20"/>
                <w:szCs w:val="20"/>
                <w:color w:val="auto"/>
              </w:rPr>
            </w:pPr>
            <w:r>
              <w:rPr>
                <w:rFonts w:ascii="Times New Roman" w:cs="Times New Roman" w:eastAsia="Times New Roman" w:hAnsi="Times New Roman"/>
                <w:sz w:val="19"/>
                <w:szCs w:val="19"/>
                <w:b w:val="1"/>
                <w:bCs w:val="1"/>
                <w:color w:val="auto"/>
              </w:rPr>
              <w:t>Accumulated</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00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8"/>
              </w:rPr>
              <w:t>Other</w:t>
            </w:r>
          </w:p>
        </w:tc>
        <w:tc>
          <w:tcPr>
            <w:tcW w:w="0" w:type="dxa"/>
            <w:vAlign w:val="bottom"/>
          </w:tcPr>
          <w:p>
            <w:pPr>
              <w:spacing w:after="0"/>
              <w:rPr>
                <w:sz w:val="1"/>
                <w:szCs w:val="1"/>
                <w:color w:val="auto"/>
              </w:rPr>
            </w:pPr>
          </w:p>
        </w:tc>
      </w:tr>
      <w:tr>
        <w:trPr>
          <w:trHeight w:val="247"/>
        </w:trPr>
        <w:tc>
          <w:tcPr>
            <w:tcW w:w="5020" w:type="dxa"/>
            <w:vAlign w:val="bottom"/>
          </w:tcPr>
          <w:p>
            <w:pPr>
              <w:spacing w:after="0"/>
              <w:rPr>
                <w:sz w:val="21"/>
                <w:szCs w:val="21"/>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8"/>
              </w:rPr>
              <w:t>Translation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Plan</w:t>
            </w: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Comprehensive Income</w:t>
            </w:r>
          </w:p>
        </w:tc>
        <w:tc>
          <w:tcPr>
            <w:tcW w:w="0" w:type="dxa"/>
            <w:vAlign w:val="bottom"/>
          </w:tcPr>
          <w:p>
            <w:pPr>
              <w:spacing w:after="0"/>
              <w:rPr>
                <w:sz w:val="1"/>
                <w:szCs w:val="1"/>
                <w:color w:val="auto"/>
              </w:rPr>
            </w:pPr>
          </w:p>
        </w:tc>
      </w:tr>
      <w:tr>
        <w:trPr>
          <w:trHeight w:val="24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October 31, 2025</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$6,187</w:t>
            </w:r>
          </w:p>
        </w:tc>
        <w:tc>
          <w:tcPr>
            <w:tcW w:w="10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($606)</w:t>
            </w:r>
          </w:p>
        </w:tc>
        <w:tc>
          <w:tcPr>
            <w:tcW w:w="12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$5,581</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Unrealized gain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1,896</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1,881</w:t>
            </w: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Amortization of unrealized loss</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Balances as of April 30, 2026</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$8,083</w:t>
            </w:r>
          </w:p>
        </w:tc>
        <w:tc>
          <w:tcPr>
            <w:tcW w:w="100" w:type="dxa"/>
            <w:vAlign w:val="bottom"/>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($611)</w:t>
            </w:r>
          </w:p>
        </w:tc>
        <w:tc>
          <w:tcPr>
            <w:tcW w:w="120" w:type="dxa"/>
            <w:vAlign w:val="bottom"/>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$7,472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20" w:hanging="416"/>
        <w:spacing w:after="0"/>
        <w:tabs>
          <w:tab w:leader="none" w:pos="42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GOODWILL AND OTHER INTANGIBLE ASSETS</w:t>
      </w:r>
    </w:p>
    <w:p>
      <w:pPr>
        <w:spacing w:after="0" w:line="243" w:lineRule="exact"/>
        <w:rPr>
          <w:sz w:val="20"/>
          <w:szCs w:val="20"/>
          <w:color w:val="auto"/>
        </w:rPr>
      </w:pPr>
    </w:p>
    <w:p>
      <w:pPr>
        <w:ind w:right="240" w:firstLine="623"/>
        <w:spacing w:after="0" w:line="272" w:lineRule="auto"/>
        <w:rPr>
          <w:sz w:val="20"/>
          <w:szCs w:val="20"/>
          <w:color w:val="auto"/>
        </w:rPr>
      </w:pPr>
      <w:r>
        <w:rPr>
          <w:rFonts w:ascii="Times New Roman" w:cs="Times New Roman" w:eastAsia="Times New Roman" w:hAnsi="Times New Roman"/>
          <w:sz w:val="21"/>
          <w:szCs w:val="21"/>
          <w:color w:val="auto"/>
        </w:rPr>
        <w:t>Changes in the carrying amount of goodwill by operating segment for the six months ended April 30, 2026 are as follows (in thousands):</w:t>
      </w:r>
    </w:p>
    <w:tbl>
      <w:tblPr>
        <w:tblLayout w:type="fixed"/>
        <w:tblInd w:w="4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242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9"/>
                <w:szCs w:val="19"/>
                <w:b w:val="1"/>
                <w:bCs w:val="1"/>
                <w:color w:val="auto"/>
              </w:rPr>
              <w:t>Segment</w:t>
            </w:r>
          </w:p>
        </w:tc>
        <w:tc>
          <w:tcPr>
            <w:tcW w:w="1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6"/>
        </w:trPr>
        <w:tc>
          <w:tcPr>
            <w:tcW w:w="5520" w:type="dxa"/>
            <w:vAlign w:val="bottom"/>
          </w:tcPr>
          <w:p>
            <w:pPr>
              <w:spacing w:after="0"/>
              <w:rPr>
                <w:sz w:val="21"/>
                <w:szCs w:val="21"/>
                <w:color w:val="auto"/>
              </w:rPr>
            </w:pPr>
          </w:p>
        </w:tc>
        <w:tc>
          <w:tcPr>
            <w:tcW w:w="2420" w:type="dxa"/>
            <w:vAlign w:val="bottom"/>
            <w:gridSpan w:val="3"/>
          </w:tcPr>
          <w:p>
            <w:pPr>
              <w:ind w:left="720"/>
              <w:spacing w:after="0"/>
              <w:rPr>
                <w:sz w:val="20"/>
                <w:szCs w:val="20"/>
                <w:color w:val="auto"/>
              </w:rPr>
            </w:pPr>
            <w:r>
              <w:rPr>
                <w:rFonts w:ascii="Times New Roman" w:cs="Times New Roman" w:eastAsia="Times New Roman" w:hAnsi="Times New Roman"/>
                <w:sz w:val="19"/>
                <w:szCs w:val="19"/>
                <w:b w:val="1"/>
                <w:bCs w:val="1"/>
                <w:color w:val="auto"/>
              </w:rPr>
              <w:t>FSG</w:t>
            </w:r>
          </w:p>
        </w:tc>
        <w:tc>
          <w:tcPr>
            <w:tcW w:w="1300" w:type="dxa"/>
            <w:vAlign w:val="bottom"/>
          </w:tcPr>
          <w:p>
            <w:pPr>
              <w:jc w:val="right"/>
              <w:ind w:right="605"/>
              <w:spacing w:after="0"/>
              <w:rPr>
                <w:sz w:val="20"/>
                <w:szCs w:val="20"/>
                <w:color w:val="auto"/>
              </w:rPr>
            </w:pPr>
            <w:r>
              <w:rPr>
                <w:rFonts w:ascii="Times New Roman" w:cs="Times New Roman" w:eastAsia="Times New Roman" w:hAnsi="Times New Roman"/>
                <w:sz w:val="19"/>
                <w:szCs w:val="19"/>
                <w:b w:val="1"/>
                <w:bCs w:val="1"/>
                <w:color w:val="auto"/>
              </w:rPr>
              <w:t>ETG</w:t>
            </w:r>
          </w:p>
        </w:tc>
        <w:tc>
          <w:tcPr>
            <w:tcW w:w="120" w:type="dxa"/>
            <w:vAlign w:val="bottom"/>
          </w:tcPr>
          <w:p>
            <w:pPr>
              <w:spacing w:after="0"/>
              <w:rPr>
                <w:sz w:val="21"/>
                <w:szCs w:val="21"/>
                <w:color w:val="auto"/>
              </w:rPr>
            </w:pPr>
          </w:p>
        </w:tc>
        <w:tc>
          <w:tcPr>
            <w:tcW w:w="18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Consolidated Totals</w:t>
            </w:r>
          </w:p>
        </w:tc>
      </w:tr>
      <w:tr>
        <w:trPr>
          <w:trHeight w:val="24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October 31, 2025</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$1,997,178</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$1,664,446</w:t>
            </w:r>
          </w:p>
        </w:tc>
        <w:tc>
          <w:tcPr>
            <w:tcW w:w="12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$3,661,624</w:t>
            </w:r>
          </w:p>
        </w:tc>
      </w:tr>
      <w:tr>
        <w:trPr>
          <w:trHeight w:val="247"/>
        </w:trPr>
        <w:tc>
          <w:tcPr>
            <w:tcW w:w="55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Goodwill acquired</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232,991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309,387</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542,378</w:t>
            </w:r>
          </w:p>
        </w:tc>
      </w:tr>
      <w:tr>
        <w:trPr>
          <w:trHeight w:val="24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801</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1,300</w:t>
            </w:r>
          </w:p>
        </w:tc>
      </w:tr>
      <w:tr>
        <w:trPr>
          <w:trHeight w:val="24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Adjustments to goodwill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(8,116)</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(7,916)</w:t>
            </w:r>
          </w:p>
        </w:tc>
      </w:tr>
      <w:tr>
        <w:trPr>
          <w:trHeight w:val="26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April 30,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$2,230,868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$1,966,518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$4,197,386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100" w:firstLine="623"/>
        <w:spacing w:after="0" w:line="255" w:lineRule="auto"/>
        <w:rPr>
          <w:sz w:val="20"/>
          <w:szCs w:val="20"/>
          <w:color w:val="auto"/>
        </w:rPr>
      </w:pPr>
      <w:r>
        <w:rPr>
          <w:rFonts w:ascii="Times New Roman" w:cs="Times New Roman" w:eastAsia="Times New Roman" w:hAnsi="Times New Roman"/>
          <w:sz w:val="21"/>
          <w:szCs w:val="21"/>
          <w:color w:val="auto"/>
        </w:rPr>
        <w:t>The goodwill acquired pertains to the fiscal 2026 acquisitions described in Note 2, Acquisitions, and represents the residual value after the allocation of the total consideration to the tangible and identifiable intangible assets acquired and liabilities and noncontrolling interests assumed. The Company estimates that $165 million of the goodwill acquired in fiscal 2026 will be deductible for income tax purposes. Foreign currency translation adjustments are included in other comprehensive income (loss) in the Company's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1"/>
          <w:szCs w:val="21"/>
          <w:color w:val="auto"/>
        </w:rPr>
        <w:t>Comprehensive Income. The adjustments to goodwill represent immaterial measurement period adjustments to the allocation of the purchase consideration of certain fiscal 2025 acquisitions.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Identifiable intangible assets consist of the following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 April 30, 2026</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of October 31, 2025</w:t>
            </w:r>
          </w:p>
        </w:tc>
        <w:tc>
          <w:tcPr>
            <w:tcW w:w="1160" w:type="dxa"/>
            <w:vAlign w:val="bottom"/>
            <w:tcBorders>
              <w:bottom w:val="single" w:sz="8" w:color="auto"/>
            </w:tcBorders>
          </w:tcPr>
          <w:p>
            <w:pPr>
              <w:spacing w:after="0"/>
              <w:rPr>
                <w:sz w:val="19"/>
                <w:szCs w:val="19"/>
                <w:color w:val="auto"/>
              </w:rPr>
            </w:pPr>
          </w:p>
        </w:tc>
      </w:tr>
      <w:tr>
        <w:trPr>
          <w:trHeight w:val="167"/>
        </w:trPr>
        <w:tc>
          <w:tcPr>
            <w:tcW w:w="2840" w:type="dxa"/>
            <w:vAlign w:val="bottom"/>
          </w:tcPr>
          <w:p>
            <w:pPr>
              <w:spacing w:after="0"/>
              <w:rPr>
                <w:sz w:val="14"/>
                <w:szCs w:val="14"/>
                <w:color w:val="auto"/>
              </w:rPr>
            </w:pPr>
          </w:p>
        </w:tc>
        <w:tc>
          <w:tcPr>
            <w:tcW w:w="132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64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120" w:type="dxa"/>
            <w:vAlign w:val="bottom"/>
          </w:tcPr>
          <w:p>
            <w:pPr>
              <w:spacing w:after="0"/>
              <w:rPr>
                <w:sz w:val="14"/>
                <w:szCs w:val="14"/>
                <w:color w:val="auto"/>
              </w:rPr>
            </w:pPr>
          </w:p>
        </w:tc>
        <w:tc>
          <w:tcPr>
            <w:tcW w:w="12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Pr>
          <w:p>
            <w:pPr>
              <w:spacing w:after="0"/>
              <w:rPr>
                <w:sz w:val="14"/>
                <w:szCs w:val="14"/>
                <w:color w:val="auto"/>
              </w:rPr>
            </w:pPr>
          </w:p>
        </w:tc>
        <w:tc>
          <w:tcPr>
            <w:tcW w:w="164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60" w:type="dxa"/>
            <w:vAlign w:val="bottom"/>
          </w:tcPr>
          <w:p>
            <w:pPr>
              <w:jc w:val="right"/>
              <w:ind w:right="13"/>
              <w:spacing w:after="0" w:line="167" w:lineRule="exact"/>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28"/>
        </w:trPr>
        <w:tc>
          <w:tcPr>
            <w:tcW w:w="284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Amortizing Assets:</w:t>
            </w: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1"/>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$1,309,393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($427,303)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$882,090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$1,131,443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($373,100)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$758,343</w:t>
            </w:r>
          </w:p>
        </w:tc>
      </w:tr>
      <w:tr>
        <w:trPr>
          <w:trHeight w:val="221"/>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Intellectual property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(176,071)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485,806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540,836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387,053</w:t>
            </w:r>
          </w:p>
        </w:tc>
      </w:tr>
      <w:tr>
        <w:trPr>
          <w:trHeight w:val="221"/>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(8,127)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14"/>
        </w:trPr>
        <w:tc>
          <w:tcPr>
            <w:tcW w:w="2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1,976,519</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(608,193)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1,368,326</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1,680,930</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(535,010)</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1,145,920</w:t>
            </w:r>
          </w:p>
        </w:tc>
      </w:tr>
      <w:tr>
        <w:trPr>
          <w:trHeight w:val="221"/>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Non-Amortizing Assets: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1"/>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names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346,831</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325,520</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325,520</w:t>
            </w:r>
          </w:p>
        </w:tc>
      </w:tr>
      <w:tr>
        <w:trPr>
          <w:trHeight w:val="214"/>
        </w:trPr>
        <w:tc>
          <w:tcPr>
            <w:tcW w:w="28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$2,323,350</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($608,193)</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$1,715,157</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$2,006,450</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($535,010)</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$1,471,440</w:t>
            </w:r>
          </w:p>
        </w:tc>
      </w:tr>
      <w:tr>
        <w:trPr>
          <w:trHeight w:val="20"/>
        </w:trPr>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right="200" w:firstLine="204"/>
        <w:spacing w:after="0" w:line="259" w:lineRule="auto"/>
        <w:rPr>
          <w:sz w:val="20"/>
          <w:szCs w:val="20"/>
          <w:color w:val="auto"/>
        </w:rPr>
      </w:pPr>
      <w:r>
        <w:rPr>
          <w:rFonts w:ascii="Times New Roman" w:cs="Times New Roman" w:eastAsia="Times New Roman" w:hAnsi="Times New Roman"/>
          <w:sz w:val="21"/>
          <w:szCs w:val="21"/>
          <w:color w:val="auto"/>
        </w:rPr>
        <w:t>The increase in the gross carrying amount of customer relationships, intellectual property, and trade names as of April 30, 2026 compared to October 31, 2025 principally relates to such intangible assets recognized in connection with the fiscal 2026 acquisitions (see Note 2, Acquisitions).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Amortization expense related to intangible assets for the six months ended April 30, 2026 and 2025 was $76.7 million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$67.0 million, respectively. Amortization expense related to intangible assets for the three months ended April 30, 2026 and 2025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$40.8 million and $34.8 million, respectively. Amortization expense related to intangible assets for the remainder of fiscal 2026 is</w:t>
      </w:r>
    </w:p>
    <w:p>
      <w:pPr>
        <w:spacing w:after="0" w:line="5" w:lineRule="exact"/>
        <w:rPr>
          <w:sz w:val="20"/>
          <w:szCs w:val="20"/>
          <w:color w:val="auto"/>
        </w:rPr>
      </w:pPr>
    </w:p>
    <w:p>
      <w:pPr>
        <w:ind w:right="1120"/>
        <w:spacing w:after="0" w:line="247" w:lineRule="auto"/>
        <w:rPr>
          <w:sz w:val="20"/>
          <w:szCs w:val="20"/>
          <w:color w:val="auto"/>
        </w:rPr>
      </w:pPr>
      <w:r>
        <w:rPr>
          <w:rFonts w:ascii="Times New Roman" w:cs="Times New Roman" w:eastAsia="Times New Roman" w:hAnsi="Times New Roman"/>
          <w:sz w:val="21"/>
          <w:szCs w:val="21"/>
          <w:color w:val="auto"/>
        </w:rPr>
        <w:t>estimated to be $83.7 million. Amortization expense for each of the next five fiscal years and thereafter is estimated to be $163.1 million in fiscal 2027, $156.1 million in fiscal 2028, $149.5 million in fiscal 2029, $141.7 million in fiscal 2030, $130.9 million in fiscal 2031, and $543.3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5.</w:t>
        <w:tab/>
        <w:t>LONG-TERM DEBT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Long-term debt consists of the following (in thousands):</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55"/>
        </w:trPr>
        <w:tc>
          <w:tcPr>
            <w:tcW w:w="6300" w:type="dxa"/>
            <w:vAlign w:val="bottom"/>
          </w:tcPr>
          <w:p>
            <w:pPr>
              <w:spacing w:after="0"/>
              <w:rPr>
                <w:sz w:val="22"/>
                <w:szCs w:val="22"/>
                <w:color w:val="auto"/>
              </w:rPr>
            </w:pPr>
          </w:p>
        </w:tc>
        <w:tc>
          <w:tcPr>
            <w:tcW w:w="2440" w:type="dxa"/>
            <w:vAlign w:val="bottom"/>
            <w:gridSpan w:val="2"/>
          </w:tcPr>
          <w:p>
            <w:pPr>
              <w:ind w:left="9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320" w:type="dxa"/>
            <w:vAlign w:val="bottom"/>
          </w:tcPr>
          <w:p>
            <w:pPr>
              <w:jc w:val="right"/>
              <w:ind w:right="86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3"/>
        </w:trPr>
        <w:tc>
          <w:tcPr>
            <w:tcW w:w="6300" w:type="dxa"/>
            <w:vAlign w:val="bottom"/>
            <w:tcBorders>
              <w:bottom w:val="single" w:sz="8" w:color="CCEEFF"/>
            </w:tcBorders>
          </w:tcPr>
          <w:p>
            <w:pPr>
              <w:spacing w:after="0"/>
              <w:rPr>
                <w:sz w:val="21"/>
                <w:szCs w:val="21"/>
                <w:color w:val="auto"/>
              </w:rPr>
            </w:pPr>
          </w:p>
        </w:tc>
        <w:tc>
          <w:tcPr>
            <w:tcW w:w="232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Borders>
              <w:bottom w:val="single" w:sz="8" w:color="CCEEFF"/>
            </w:tcBorders>
          </w:tcPr>
          <w:p>
            <w:pPr>
              <w:spacing w:after="0"/>
              <w:rPr>
                <w:sz w:val="21"/>
                <w:szCs w:val="21"/>
                <w:color w:val="auto"/>
              </w:rPr>
            </w:pPr>
          </w:p>
        </w:tc>
        <w:tc>
          <w:tcPr>
            <w:tcW w:w="232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Borrowings under revolving credit facility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$1,380,000</w:t>
            </w:r>
          </w:p>
        </w:tc>
        <w:tc>
          <w:tcPr>
            <w:tcW w:w="120" w:type="dxa"/>
            <w:vAlign w:val="bottom"/>
            <w:shd w:val="clear" w:color="auto" w:fill="CCEEFF"/>
          </w:tcPr>
          <w:p>
            <w:pPr>
              <w:spacing w:after="0"/>
              <w:rPr>
                <w:sz w:val="20"/>
                <w:szCs w:val="20"/>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$960,000</w:t>
            </w:r>
          </w:p>
        </w:tc>
      </w:tr>
      <w:tr>
        <w:trPr>
          <w:trHeight w:val="24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2028 senior unsecured notes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600,000</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600,000</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2033 senior unsecured notes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600,000</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600,000</w:t>
            </w:r>
          </w:p>
        </w:tc>
      </w:tr>
      <w:tr>
        <w:trPr>
          <w:trHeight w:val="247"/>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Finance leases and notes payable</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16,290</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17,890</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Less: Debt discount and debt issuance costs</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(9,000)</w:t>
            </w:r>
          </w:p>
        </w:tc>
        <w:tc>
          <w:tcPr>
            <w:tcW w:w="120" w:type="dxa"/>
            <w:vAlign w:val="bottom"/>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(9,945)</w:t>
            </w:r>
          </w:p>
        </w:tc>
      </w:tr>
      <w:tr>
        <w:trPr>
          <w:trHeight w:val="240"/>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Total debt</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2,587,290</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2,167,945</w:t>
            </w:r>
          </w:p>
        </w:tc>
      </w:tr>
      <w:tr>
        <w:trPr>
          <w:trHeight w:val="24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Less: Current maturities of long-term debt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(3,402)</w:t>
            </w:r>
          </w:p>
        </w:tc>
        <w:tc>
          <w:tcPr>
            <w:tcW w:w="120" w:type="dxa"/>
            <w:vAlign w:val="bottom"/>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(3,358)</w:t>
            </w:r>
          </w:p>
        </w:tc>
      </w:tr>
      <w:tr>
        <w:trPr>
          <w:trHeight w:val="240"/>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Long-term debt, net of current maturities</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$2,583,888</w:t>
            </w:r>
          </w:p>
        </w:tc>
        <w:tc>
          <w:tcPr>
            <w:tcW w:w="120" w:type="dxa"/>
            <w:vAlign w:val="bottom"/>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$2,164,587</w:t>
            </w:r>
          </w:p>
        </w:tc>
      </w:tr>
      <w:tr>
        <w:trPr>
          <w:trHeight w:val="20"/>
        </w:trPr>
        <w:tc>
          <w:tcPr>
            <w:tcW w:w="63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Revolving Credit Facility</w:t>
      </w:r>
    </w:p>
    <w:p>
      <w:pPr>
        <w:spacing w:after="0" w:line="243" w:lineRule="exact"/>
        <w:rPr>
          <w:sz w:val="20"/>
          <w:szCs w:val="20"/>
          <w:color w:val="auto"/>
        </w:rPr>
      </w:pPr>
    </w:p>
    <w:p>
      <w:pPr>
        <w:ind w:right="40" w:firstLine="623"/>
        <w:spacing w:after="0" w:line="254" w:lineRule="auto"/>
        <w:rPr>
          <w:sz w:val="20"/>
          <w:szCs w:val="20"/>
          <w:color w:val="auto"/>
        </w:rPr>
      </w:pPr>
      <w:r>
        <w:rPr>
          <w:rFonts w:ascii="Times New Roman" w:cs="Times New Roman" w:eastAsia="Times New Roman" w:hAnsi="Times New Roman"/>
          <w:sz w:val="21"/>
          <w:szCs w:val="21"/>
          <w:color w:val="auto"/>
        </w:rPr>
        <w:t>The Company's borrowings under its revolving credit facility mature in fiscal 2028. As of April 30, 2026 and October 31 2025, the weighted average interest rate on borrowings under the Company's revolving credit facility ("Credit Facility") was 5.0% and 5.3%, respectively. The Credit Facility contains both financial and non-financial covenants. As of April 30, 2026, the Company was in compliance with all such 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Senior Unsecured Notes</w:t>
      </w:r>
    </w:p>
    <w:p>
      <w:pPr>
        <w:spacing w:after="0" w:line="243" w:lineRule="exact"/>
        <w:rPr>
          <w:sz w:val="20"/>
          <w:szCs w:val="20"/>
          <w:color w:val="auto"/>
        </w:rPr>
      </w:pPr>
    </w:p>
    <w:p>
      <w:pPr>
        <w:ind w:firstLine="623"/>
        <w:spacing w:after="0" w:line="268" w:lineRule="auto"/>
        <w:rPr>
          <w:sz w:val="20"/>
          <w:szCs w:val="20"/>
          <w:color w:val="auto"/>
        </w:rPr>
      </w:pPr>
      <w:r>
        <w:rPr>
          <w:rFonts w:ascii="Times New Roman" w:cs="Times New Roman" w:eastAsia="Times New Roman" w:hAnsi="Times New Roman"/>
          <w:sz w:val="20"/>
          <w:szCs w:val="20"/>
          <w:color w:val="auto"/>
        </w:rPr>
        <w:t>The Company's senior unsecured notes consist of $600 million principal amount of 5.25% Senior Notes due August 1, 2028 (the "2028 Notes") and $600 million principal amount of 5.35% Senior Notes due August 1, 2033 (the "2033 Notes" and, collectively with the 2028 Notes, the "Notes"). Interest on the Notes is payable semi-annually in arrears on February 1 and August 1 of each year. The 2028 Notes and 2033 Notes each have an effective interest rate of 5.5%. The Notes are fully and unconditionally guaranteed on a senior unsecured basis by all of the Company's existing and future subsidiaries that guarantee the Company's obligations under the Credit Facility (the "Guarantor Group"). As of April 30, 2026, the Company was in compliance with all covenants related to the Notes.</w:t>
      </w:r>
    </w:p>
    <w:p>
      <w:pPr>
        <w:spacing w:after="0" w:line="185"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The following table sets forth the carrying value and estimated fair value of the Company’s Notes, which are classified as Level 1 financial instruments in the fair value hierarchy (in thousands). The Company estimated the fair value of the Notes by taking the weighted average of market quotes for the exact security that was actively traded on April 30, 2026 and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00" w:type="dxa"/>
            <w:vAlign w:val="bottom"/>
          </w:tcPr>
          <w:p>
            <w:pPr>
              <w:spacing w:after="0"/>
              <w:rPr>
                <w:sz w:val="22"/>
                <w:szCs w:val="22"/>
                <w:color w:val="auto"/>
              </w:rPr>
            </w:pPr>
          </w:p>
        </w:tc>
        <w:tc>
          <w:tcPr>
            <w:tcW w:w="4360" w:type="dxa"/>
            <w:vAlign w:val="bottom"/>
            <w:gridSpan w:val="4"/>
          </w:tcPr>
          <w:p>
            <w:pPr>
              <w:ind w:left="1300"/>
              <w:spacing w:after="0"/>
              <w:rPr>
                <w:sz w:val="20"/>
                <w:szCs w:val="20"/>
                <w:color w:val="auto"/>
              </w:rPr>
            </w:pPr>
            <w:r>
              <w:rPr>
                <w:rFonts w:ascii="Times New Roman" w:cs="Times New Roman" w:eastAsia="Times New Roman" w:hAnsi="Times New Roman"/>
                <w:sz w:val="19"/>
                <w:szCs w:val="19"/>
                <w:b w:val="1"/>
                <w:bCs w:val="1"/>
                <w:color w:val="auto"/>
              </w:rPr>
              <w:t>As of April 30, 2026</w:t>
            </w:r>
          </w:p>
        </w:tc>
        <w:tc>
          <w:tcPr>
            <w:tcW w:w="4180" w:type="dxa"/>
            <w:vAlign w:val="bottom"/>
            <w:gridSpan w:val="3"/>
          </w:tcPr>
          <w:p>
            <w:pPr>
              <w:jc w:val="right"/>
              <w:ind w:right="1065"/>
              <w:spacing w:after="0"/>
              <w:rPr>
                <w:sz w:val="20"/>
                <w:szCs w:val="20"/>
                <w:color w:val="auto"/>
              </w:rPr>
            </w:pPr>
            <w:r>
              <w:rPr>
                <w:rFonts w:ascii="Times New Roman" w:cs="Times New Roman" w:eastAsia="Times New Roman" w:hAnsi="Times New Roman"/>
                <w:sz w:val="19"/>
                <w:szCs w:val="19"/>
                <w:b w:val="1"/>
                <w:bCs w:val="1"/>
                <w:color w:val="auto"/>
              </w:rPr>
              <w:t>As of October 31, 2025</w:t>
            </w:r>
          </w:p>
        </w:tc>
      </w:tr>
      <w:tr>
        <w:trPr>
          <w:trHeight w:val="243"/>
        </w:trPr>
        <w:tc>
          <w:tcPr>
            <w:tcW w:w="2700" w:type="dxa"/>
            <w:vAlign w:val="bottom"/>
          </w:tcPr>
          <w:p>
            <w:pPr>
              <w:spacing w:after="0"/>
              <w:rPr>
                <w:sz w:val="21"/>
                <w:szCs w:val="21"/>
                <w:color w:val="auto"/>
              </w:rPr>
            </w:pPr>
          </w:p>
        </w:tc>
        <w:tc>
          <w:tcPr>
            <w:tcW w:w="218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rPr>
              <w:t>Carrying Value</w:t>
            </w:r>
          </w:p>
        </w:tc>
        <w:tc>
          <w:tcPr>
            <w:tcW w:w="206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rPr>
              <w:t>Carrying Value</w:t>
            </w:r>
          </w:p>
        </w:tc>
        <w:tc>
          <w:tcPr>
            <w:tcW w:w="2040" w:type="dxa"/>
            <w:vAlign w:val="bottom"/>
            <w:tcBorders>
              <w:top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rPr>
              <w:t>Fair Value</w:t>
            </w:r>
          </w:p>
        </w:tc>
      </w:tr>
      <w:tr>
        <w:trPr>
          <w:trHeight w:val="24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2028 Notes</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$597,046</w:t>
            </w:r>
          </w:p>
        </w:tc>
        <w:tc>
          <w:tcPr>
            <w:tcW w:w="12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$611,119</w:t>
            </w:r>
          </w:p>
        </w:tc>
        <w:tc>
          <w:tcPr>
            <w:tcW w:w="12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$596,437</w:t>
            </w:r>
          </w:p>
        </w:tc>
        <w:tc>
          <w:tcPr>
            <w:tcW w:w="80" w:type="dxa"/>
            <w:vAlign w:val="bottom"/>
            <w:tcBorders>
              <w:top w:val="single" w:sz="8" w:color="CCEEFF"/>
            </w:tcBorders>
            <w:shd w:val="clear" w:color="auto" w:fill="CCEEFF"/>
          </w:tcPr>
          <w:p>
            <w:pPr>
              <w:spacing w:after="0"/>
              <w:rPr>
                <w:sz w:val="20"/>
                <w:szCs w:val="20"/>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$617,904</w:t>
            </w:r>
          </w:p>
        </w:tc>
      </w:tr>
      <w:tr>
        <w:trPr>
          <w:trHeight w:val="247"/>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2033 Notes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593,954</w:t>
            </w:r>
          </w:p>
        </w:tc>
        <w:tc>
          <w:tcPr>
            <w:tcW w:w="1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610,696</w:t>
            </w:r>
          </w:p>
        </w:tc>
        <w:tc>
          <w:tcPr>
            <w:tcW w:w="1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593,618</w:t>
            </w: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624,320</w:t>
            </w:r>
          </w:p>
        </w:tc>
      </w:tr>
      <w:tr>
        <w:trPr>
          <w:trHeight w:val="265"/>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$1,191,000</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$1,221,815</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$1,190,055</w:t>
            </w:r>
          </w:p>
        </w:tc>
        <w:tc>
          <w:tcPr>
            <w:tcW w:w="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$1,242,224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9600" w:firstLine="4"/>
        <w:spacing w:after="0" w:line="516" w:lineRule="auto"/>
        <w:tabs>
          <w:tab w:leader="none" w:pos="415"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Contract Balances</w:t>
      </w:r>
    </w:p>
    <w:p>
      <w:pPr>
        <w:spacing w:after="0" w:line="2" w:lineRule="exact"/>
        <w:rPr>
          <w:sz w:val="20"/>
          <w:szCs w:val="20"/>
          <w:color w:val="auto"/>
        </w:rPr>
      </w:pPr>
    </w:p>
    <w:p>
      <w:pPr>
        <w:ind w:firstLine="208"/>
        <w:spacing w:after="0" w:line="254" w:lineRule="auto"/>
        <w:rPr>
          <w:sz w:val="20"/>
          <w:szCs w:val="20"/>
          <w:color w:val="auto"/>
        </w:rPr>
      </w:pPr>
      <w:r>
        <w:rPr>
          <w:rFonts w:ascii="Times New Roman" w:cs="Times New Roman" w:eastAsia="Times New Roman" w:hAnsi="Times New Roman"/>
          <w:sz w:val="21"/>
          <w:szCs w:val="21"/>
          <w:color w:val="auto"/>
        </w:rPr>
        <w:t>Contract assets (unbilled receivables) represent revenue recognized on contracts using an over time recognition model in excess of amounts invoiced to the customer. Contract liabilities (deferred revenue) represent customer advances and billings in excess of revenue recognized and are included within accrued expenses and other current liabilities and other long-term liabilities in the Company’s Condensed Consolidated Balance Sheets.</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following table presents the Company's contract assets and liabilities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0" w:type="dxa"/>
            <w:vAlign w:val="bottom"/>
          </w:tcPr>
          <w:p>
            <w:pPr>
              <w:spacing w:after="0"/>
              <w:rPr>
                <w:sz w:val="22"/>
                <w:szCs w:val="22"/>
                <w:color w:val="auto"/>
              </w:rPr>
            </w:pPr>
          </w:p>
        </w:tc>
        <w:tc>
          <w:tcPr>
            <w:tcW w:w="2620" w:type="dxa"/>
            <w:vAlign w:val="bottom"/>
            <w:gridSpan w:val="2"/>
          </w:tcPr>
          <w:p>
            <w:pPr>
              <w:ind w:left="1040"/>
              <w:spacing w:after="0"/>
              <w:rPr>
                <w:sz w:val="20"/>
                <w:szCs w:val="20"/>
                <w:color w:val="auto"/>
              </w:rPr>
            </w:pPr>
            <w:r>
              <w:rPr>
                <w:rFonts w:ascii="Times New Roman" w:cs="Times New Roman" w:eastAsia="Times New Roman" w:hAnsi="Times New Roman"/>
                <w:sz w:val="19"/>
                <w:szCs w:val="19"/>
                <w:b w:val="1"/>
                <w:bCs w:val="1"/>
                <w:color w:val="auto"/>
              </w:rPr>
              <w:t>As of</w:t>
            </w:r>
          </w:p>
        </w:tc>
        <w:tc>
          <w:tcPr>
            <w:tcW w:w="2500" w:type="dxa"/>
            <w:vAlign w:val="bottom"/>
          </w:tcPr>
          <w:p>
            <w:pPr>
              <w:jc w:val="right"/>
              <w:ind w:right="945"/>
              <w:spacing w:after="0"/>
              <w:rPr>
                <w:sz w:val="20"/>
                <w:szCs w:val="20"/>
                <w:color w:val="auto"/>
              </w:rPr>
            </w:pPr>
            <w:r>
              <w:rPr>
                <w:rFonts w:ascii="Times New Roman" w:cs="Times New Roman" w:eastAsia="Times New Roman" w:hAnsi="Times New Roman"/>
                <w:sz w:val="19"/>
                <w:szCs w:val="19"/>
                <w:b w:val="1"/>
                <w:bCs w:val="1"/>
                <w:color w:val="auto"/>
              </w:rPr>
              <w:t>As of</w:t>
            </w:r>
          </w:p>
        </w:tc>
      </w:tr>
      <w:tr>
        <w:trPr>
          <w:trHeight w:val="243"/>
        </w:trPr>
        <w:tc>
          <w:tcPr>
            <w:tcW w:w="6000" w:type="dxa"/>
            <w:vAlign w:val="bottom"/>
            <w:tcBorders>
              <w:bottom w:val="single" w:sz="8" w:color="CCEEFF"/>
            </w:tcBorders>
          </w:tcPr>
          <w:p>
            <w:pPr>
              <w:spacing w:after="0"/>
              <w:rPr>
                <w:sz w:val="21"/>
                <w:szCs w:val="21"/>
                <w:color w:val="auto"/>
              </w:rPr>
            </w:pPr>
          </w:p>
        </w:tc>
        <w:tc>
          <w:tcPr>
            <w:tcW w:w="25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120" w:type="dxa"/>
            <w:vAlign w:val="bottom"/>
            <w:tcBorders>
              <w:bottom w:val="single" w:sz="8" w:color="CCEEFF"/>
            </w:tcBorders>
          </w:tcPr>
          <w:p>
            <w:pPr>
              <w:spacing w:after="0"/>
              <w:rPr>
                <w:sz w:val="21"/>
                <w:szCs w:val="21"/>
                <w:color w:val="auto"/>
              </w:rPr>
            </w:pPr>
          </w:p>
        </w:tc>
        <w:tc>
          <w:tcPr>
            <w:tcW w:w="250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October 31, 2025</w:t>
            </w:r>
          </w:p>
        </w:tc>
      </w:tr>
      <w:tr>
        <w:trPr>
          <w:trHeight w:val="24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Contract assets, current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$131,590</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$119,257</w:t>
            </w:r>
          </w:p>
        </w:tc>
      </w:tr>
      <w:tr>
        <w:trPr>
          <w:trHeight w:val="260"/>
        </w:trPr>
        <w:tc>
          <w:tcPr>
            <w:tcW w:w="60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4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Contract liabilities, current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(132,070)</w:t>
            </w: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(79,529)</w:t>
            </w:r>
          </w:p>
        </w:tc>
      </w:tr>
      <w:tr>
        <w:trPr>
          <w:trHeight w:val="24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Contract liabilities, long-term</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(71,122)</w:t>
            </w:r>
          </w:p>
        </w:tc>
        <w:tc>
          <w:tcPr>
            <w:tcW w:w="12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(84,714)</w:t>
            </w:r>
          </w:p>
        </w:tc>
      </w:tr>
      <w:tr>
        <w:trPr>
          <w:trHeight w:val="24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contract liabilities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(203,192)</w:t>
            </w:r>
          </w:p>
        </w:tc>
        <w:tc>
          <w:tcPr>
            <w:tcW w:w="120" w:type="dxa"/>
            <w:vAlign w:val="bottom"/>
            <w:shd w:val="clear" w:color="auto" w:fill="CCEEFF"/>
          </w:tcPr>
          <w:p>
            <w:pPr>
              <w:spacing w:after="0"/>
              <w:rPr>
                <w:sz w:val="20"/>
                <w:szCs w:val="20"/>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(164,243)</w:t>
            </w:r>
          </w:p>
        </w:tc>
      </w:tr>
      <w:tr>
        <w:trPr>
          <w:trHeight w:val="240"/>
        </w:trPr>
        <w:tc>
          <w:tcPr>
            <w:tcW w:w="6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2"/>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contract liabilities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($71,602)</w:t>
            </w: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($44,986)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100" w:firstLine="623"/>
        <w:spacing w:after="0" w:line="259" w:lineRule="auto"/>
        <w:rPr>
          <w:sz w:val="20"/>
          <w:szCs w:val="20"/>
          <w:color w:val="auto"/>
        </w:rPr>
      </w:pPr>
      <w:r>
        <w:rPr>
          <w:rFonts w:ascii="Times New Roman" w:cs="Times New Roman" w:eastAsia="Times New Roman" w:hAnsi="Times New Roman"/>
          <w:sz w:val="21"/>
          <w:szCs w:val="21"/>
          <w:color w:val="auto"/>
        </w:rPr>
        <w:t>The increase in the Company's contract assets during the first six months of fiscal 2026 principally reflects additional unbilled receivables on certain customer contracts using an over time recognition model in excess of billings, as well as the contract assets of a certain business acquired during fiscal 2026. The increase in the Company's total contract liabilities during the first six months of fiscal 2026 principally reflects the receipt of advance deposits on certain customer contracts, mainly at the FSG.</w:t>
      </w:r>
    </w:p>
    <w:p>
      <w:pPr>
        <w:spacing w:after="0" w:line="191" w:lineRule="exact"/>
        <w:rPr>
          <w:sz w:val="20"/>
          <w:szCs w:val="20"/>
          <w:color w:val="auto"/>
        </w:rPr>
      </w:pPr>
    </w:p>
    <w:p>
      <w:pPr>
        <w:ind w:right="200" w:firstLine="623"/>
        <w:spacing w:after="0" w:line="274" w:lineRule="auto"/>
        <w:rPr>
          <w:sz w:val="20"/>
          <w:szCs w:val="20"/>
          <w:color w:val="auto"/>
        </w:rPr>
      </w:pPr>
      <w:r>
        <w:rPr>
          <w:rFonts w:ascii="Times New Roman" w:cs="Times New Roman" w:eastAsia="Times New Roman" w:hAnsi="Times New Roman"/>
          <w:sz w:val="21"/>
          <w:szCs w:val="21"/>
          <w:color w:val="auto"/>
        </w:rPr>
        <w:t>The amount of revenue that the Company recognized during the six and three months ended April 30, 2026 that was included in contract liabilities as of the beginning of fiscal 2026 was $55.8 million and $26.2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Remaining Performance Obligations</w:t>
      </w:r>
    </w:p>
    <w:p>
      <w:pPr>
        <w:spacing w:after="0" w:line="256" w:lineRule="exact"/>
        <w:rPr>
          <w:sz w:val="20"/>
          <w:szCs w:val="20"/>
          <w:color w:val="auto"/>
        </w:rPr>
      </w:pPr>
    </w:p>
    <w:p>
      <w:pPr>
        <w:ind w:right="200" w:firstLine="623"/>
        <w:spacing w:after="0" w:line="274" w:lineRule="auto"/>
        <w:rPr>
          <w:sz w:val="20"/>
          <w:szCs w:val="20"/>
          <w:color w:val="auto"/>
        </w:rPr>
      </w:pPr>
      <w:r>
        <w:rPr>
          <w:rFonts w:ascii="Times New Roman" w:cs="Times New Roman" w:eastAsia="Times New Roman" w:hAnsi="Times New Roman"/>
          <w:sz w:val="21"/>
          <w:szCs w:val="21"/>
          <w:color w:val="auto"/>
        </w:rPr>
        <w:t>Backlog, which the Company believes to be the equivalent of its remaining performance obligations, represents contractually committed or firm customer orders. As of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the Company had $2,622.6 million of remaining performance obligations associated with firm contracts pertaining to many of the products offered by the FSG and ETG. The Company will recognize net sales as these obligations are satisfied. The Company expects to recognize $1,177.0 million of this amount during the remainder of fiscal 2026 and $1,445.6 million thereafter, of which the majority is expected to occur in fiscal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Disaggregation of Revenue</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following table summarizes the Company’s net sales by product line for each operating segment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34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260" w:type="dxa"/>
            <w:vAlign w:val="bottom"/>
            <w:gridSpan w:val="3"/>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Flight Support Group:</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1"/>
        </w:trPr>
        <w:tc>
          <w:tcPr>
            <w:tcW w:w="462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Aftermarket replacement parts </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$1,084,188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$925,990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$570,327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$469,962</w:t>
            </w:r>
          </w:p>
        </w:tc>
      </w:tr>
      <w:tr>
        <w:trPr>
          <w:trHeight w:val="221"/>
        </w:trPr>
        <w:tc>
          <w:tcPr>
            <w:tcW w:w="462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Repair and overhaul parts and services </w:t>
            </w:r>
            <w:r>
              <w:rPr>
                <w:rFonts w:ascii="Times New Roman" w:cs="Times New Roman" w:eastAsia="Times New Roman" w:hAnsi="Times New Roman"/>
                <w:sz w:val="22"/>
                <w:szCs w:val="22"/>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422,529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342,105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186,656</w:t>
            </w:r>
          </w:p>
        </w:tc>
      </w:tr>
      <w:tr>
        <w:trPr>
          <w:trHeight w:val="221"/>
        </w:trPr>
        <w:tc>
          <w:tcPr>
            <w:tcW w:w="4620" w:type="dxa"/>
            <w:vAlign w:val="bottom"/>
            <w:tcBorders>
              <w:bottom w:val="single" w:sz="8" w:color="CCEEFF"/>
            </w:tcBorders>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Specialty products </w:t>
            </w:r>
            <w:r>
              <w:rPr>
                <w:rFonts w:ascii="Times New Roman" w:cs="Times New Roman" w:eastAsia="Times New Roman" w:hAnsi="Times New Roman"/>
                <w:sz w:val="22"/>
                <w:szCs w:val="22"/>
                <w:color w:val="auto"/>
                <w:vertAlign w:val="superscript"/>
              </w:rPr>
              <w:t>(3)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242,710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212,149</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133,225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110,452</w:t>
            </w:r>
          </w:p>
        </w:tc>
      </w:tr>
      <w:tr>
        <w:trPr>
          <w:trHeight w:val="21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1,749,427</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1,480,244</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929,427</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767,070</w:t>
            </w:r>
          </w:p>
        </w:tc>
      </w:tr>
      <w:tr>
        <w:trPr>
          <w:trHeight w:val="240"/>
        </w:trPr>
        <w:tc>
          <w:tcPr>
            <w:tcW w:w="4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Electronic Technologies Group:</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69"/>
        </w:trPr>
        <w:tc>
          <w:tcPr>
            <w:tcW w:w="462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Electronic component parts primarily for</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4"/>
        </w:trPr>
        <w:tc>
          <w:tcPr>
            <w:tcW w:w="4620" w:type="dxa"/>
            <w:vAlign w:val="bottom"/>
          </w:tcPr>
          <w:p>
            <w:pPr>
              <w:ind w:left="340"/>
              <w:spacing w:after="0" w:line="233" w:lineRule="exact"/>
              <w:rPr>
                <w:sz w:val="20"/>
                <w:szCs w:val="20"/>
                <w:color w:val="auto"/>
              </w:rPr>
            </w:pPr>
            <w:r>
              <w:rPr>
                <w:rFonts w:ascii="Times New Roman" w:cs="Times New Roman" w:eastAsia="Times New Roman" w:hAnsi="Times New Roman"/>
                <w:sz w:val="17"/>
                <w:szCs w:val="17"/>
                <w:color w:val="auto"/>
              </w:rPr>
              <w:t xml:space="preserve">defense, space and aerospace equipment </w:t>
            </w:r>
            <w:r>
              <w:rPr>
                <w:rFonts w:ascii="Times New Roman" w:cs="Times New Roman" w:eastAsia="Times New Roman" w:hAnsi="Times New Roman"/>
                <w:sz w:val="22"/>
                <w:szCs w:val="22"/>
                <w:color w:val="auto"/>
                <w:vertAlign w:val="superscript"/>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680,107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539,713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378,945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276,091</w:t>
            </w:r>
          </w:p>
        </w:tc>
      </w:tr>
      <w:tr>
        <w:trPr>
          <w:trHeight w:val="169"/>
        </w:trPr>
        <w:tc>
          <w:tcPr>
            <w:tcW w:w="46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Electronic component parts for equipment</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4"/>
        </w:trPr>
        <w:tc>
          <w:tcPr>
            <w:tcW w:w="4620" w:type="dxa"/>
            <w:vAlign w:val="bottom"/>
            <w:shd w:val="clear" w:color="auto" w:fill="CCEEFF"/>
          </w:tcPr>
          <w:p>
            <w:pPr>
              <w:ind w:left="380"/>
              <w:spacing w:after="0" w:line="233" w:lineRule="exact"/>
              <w:rPr>
                <w:sz w:val="20"/>
                <w:szCs w:val="20"/>
                <w:color w:val="auto"/>
              </w:rPr>
            </w:pPr>
            <w:r>
              <w:rPr>
                <w:rFonts w:ascii="Times New Roman" w:cs="Times New Roman" w:eastAsia="Times New Roman" w:hAnsi="Times New Roman"/>
                <w:sz w:val="17"/>
                <w:szCs w:val="17"/>
                <w:color w:val="auto"/>
              </w:rPr>
              <w:t xml:space="preserve">in various other industries </w:t>
            </w:r>
            <w:r>
              <w:rPr>
                <w:rFonts w:ascii="Times New Roman" w:cs="Times New Roman" w:eastAsia="Times New Roman" w:hAnsi="Times New Roman"/>
                <w:sz w:val="22"/>
                <w:szCs w:val="22"/>
                <w:color w:val="auto"/>
                <w:vertAlign w:val="superscript"/>
              </w:rPr>
              <w:t>(5)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150,100</w:t>
            </w: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132,769</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80,587</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66,076</w:t>
            </w:r>
          </w:p>
        </w:tc>
      </w:tr>
      <w:tr>
        <w:trPr>
          <w:trHeight w:val="21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830,207</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672,482</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459,532</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342,167</w:t>
            </w:r>
          </w:p>
        </w:tc>
      </w:tr>
      <w:tr>
        <w:trPr>
          <w:trHeight w:val="240"/>
        </w:trPr>
        <w:tc>
          <w:tcPr>
            <w:tcW w:w="46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sales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(11,417)</w:t>
            </w:r>
          </w:p>
        </w:tc>
      </w:tr>
      <w:tr>
        <w:trPr>
          <w:trHeight w:val="247"/>
        </w:trPr>
        <w:tc>
          <w:tcPr>
            <w:tcW w:w="462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r>
      <w:tr>
        <w:trPr>
          <w:trHeight w:val="214"/>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$2,554,295</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$2,128,042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$1,375,713</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$1,097,820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6"/>
        </w:trPr>
        <w:tc>
          <w:tcPr>
            <w:tcW w:w="4620" w:type="dxa"/>
            <w:vAlign w:val="bottom"/>
            <w:tcBorders>
              <w:bottom w:val="single" w:sz="8" w:color="auto"/>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spacing w:after="0" w:line="329" w:lineRule="exact"/>
        <w:rPr>
          <w:sz w:val="20"/>
          <w:szCs w:val="20"/>
          <w:color w:val="auto"/>
        </w:rPr>
      </w:pPr>
    </w:p>
    <w:p>
      <w:pPr>
        <w:ind w:left="320" w:hanging="277"/>
        <w:spacing w:after="0"/>
        <w:tabs>
          <w:tab w:leader="none" w:pos="32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jet engine and aircraft component replacement parts.</w:t>
      </w:r>
    </w:p>
    <w:p>
      <w:pPr>
        <w:spacing w:after="0" w:line="58" w:lineRule="exact"/>
        <w:rPr>
          <w:rFonts w:ascii="Times New Roman" w:cs="Times New Roman" w:eastAsia="Times New Roman" w:hAnsi="Times New Roman"/>
          <w:sz w:val="25"/>
          <w:szCs w:val="25"/>
          <w:color w:val="auto"/>
          <w:vertAlign w:val="superscript"/>
        </w:rPr>
      </w:pPr>
    </w:p>
    <w:p>
      <w:pPr>
        <w:ind w:left="240" w:right="120" w:hanging="197"/>
        <w:spacing w:after="0" w:line="212" w:lineRule="auto"/>
        <w:tabs>
          <w:tab w:leader="none" w:pos="313"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primarily the sale of parts consumed in various repair and overhaul services on selected jet engine and aircraft components, avionics, instruments, composites and flight surfaces of commercial and military aircraft.</w:t>
      </w:r>
    </w:p>
    <w:p>
      <w:pPr>
        <w:spacing w:after="0" w:line="37" w:lineRule="exact"/>
        <w:rPr>
          <w:rFonts w:ascii="Times New Roman" w:cs="Times New Roman" w:eastAsia="Times New Roman" w:hAnsi="Times New Roman"/>
          <w:sz w:val="25"/>
          <w:szCs w:val="25"/>
          <w:color w:val="auto"/>
          <w:vertAlign w:val="superscript"/>
        </w:rPr>
      </w:pPr>
    </w:p>
    <w:p>
      <w:pPr>
        <w:ind w:left="240" w:hanging="197"/>
        <w:spacing w:after="0" w:line="272" w:lineRule="auto"/>
        <w:tabs>
          <w:tab w:leader="none" w:pos="2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primarily the sale of specialty components such as missile hardware and components, thermal insulation blankets, renewable/reusable insulation systems, advanced niche components, complex composite assemblies, expanded foil mesh, emergency descent devices, personnel and cargo parachute products, as well as machining, brazing, fabricating and welding services.</w:t>
      </w:r>
    </w:p>
    <w:p>
      <w:pPr>
        <w:spacing w:after="0" w:line="10" w:lineRule="exact"/>
        <w:rPr>
          <w:rFonts w:ascii="Times New Roman" w:cs="Times New Roman" w:eastAsia="Times New Roman" w:hAnsi="Times New Roman"/>
          <w:sz w:val="22"/>
          <w:szCs w:val="22"/>
          <w:color w:val="auto"/>
          <w:vertAlign w:val="superscript"/>
        </w:rPr>
      </w:pPr>
    </w:p>
    <w:p>
      <w:pPr>
        <w:ind w:left="240" w:right="200" w:hanging="197"/>
        <w:spacing w:after="0" w:line="239" w:lineRule="auto"/>
        <w:tabs>
          <w:tab w:leader="none" w:pos="313"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types of electronic, data and microwave, and electro-optical component parts such as electro-optical infrared simulation and test equipment, electro-optical laser products, microwave and other power equipment, high-speed interface products, power conversion products, power distribution solutions, underwater locator beacons, emergency locator transmission beacons, traveling wave tube amplifiers, microwave power modules, a wide variety of memory products and radio frequency (RF) and microwave products, crashworthy primary fuel system bladders and ballistically self-sealing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right="100"/>
        <w:spacing w:after="0" w:line="263" w:lineRule="auto"/>
        <w:rPr>
          <w:sz w:val="20"/>
          <w:szCs w:val="20"/>
          <w:color w:val="auto"/>
        </w:rPr>
      </w:pPr>
      <w:r>
        <w:rPr>
          <w:rFonts w:ascii="Times New Roman" w:cs="Times New Roman" w:eastAsia="Times New Roman" w:hAnsi="Times New Roman"/>
          <w:sz w:val="19"/>
          <w:szCs w:val="19"/>
          <w:color w:val="auto"/>
        </w:rPr>
        <w:t>auxiliary fuel systems, high performance communications and electronic intercept receivers and tuners, high performance active antenna systems and airborne antennas, technical surveillance countermeasures (TSCM) equipment, custom high power filters and filter assemblies, radiation assurance services and products, and high-reliability, complex, passive electronic components and rotary joint assemblies, proprietary in-cabin power and entertainment components and subsystems, and cockpit displays and other avionics components.</w:t>
      </w:r>
    </w:p>
    <w:p>
      <w:pPr>
        <w:spacing w:after="0" w:line="3" w:lineRule="exact"/>
        <w:rPr>
          <w:sz w:val="20"/>
          <w:szCs w:val="20"/>
          <w:color w:val="auto"/>
        </w:rPr>
      </w:pPr>
    </w:p>
    <w:p>
      <w:pPr>
        <w:ind w:left="240" w:right="220" w:hanging="197"/>
        <w:spacing w:after="0" w:line="238"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various component parts such as electromagnetic and radio frequency interference shielding, high voltage interconnection devices, high voltage advanced power electronics, harsh environment connectivity products, custom molded cable assemblies, silicone material for a variety of demanding applications, and rugged small form-factor embedded computing solutions, and high-performance test sockets and adaptors.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following table summarizes the Company’s net sales by industry for each operating segment (in thousands):</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3300" w:type="dxa"/>
            <w:vAlign w:val="bottom"/>
            <w:gridSpan w:val="4"/>
          </w:tcPr>
          <w:p>
            <w:pPr>
              <w:ind w:left="60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180" w:type="dxa"/>
            <w:vAlign w:val="bottom"/>
            <w:gridSpan w:val="3"/>
          </w:tcPr>
          <w:p>
            <w:pPr>
              <w:jc w:val="right"/>
              <w:ind w:right="386"/>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46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Flight Support Group:</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7"/>
        </w:trPr>
        <w:tc>
          <w:tcPr>
            <w:tcW w:w="46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Aerospace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$1,301,485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$1,106,321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$675,013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$572,700</w:t>
            </w:r>
          </w:p>
        </w:tc>
      </w:tr>
      <w:tr>
        <w:trPr>
          <w:trHeight w:val="24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Defense and Space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405,776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344,001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226,399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178,112</w:t>
            </w:r>
          </w:p>
        </w:tc>
      </w:tr>
      <w:tr>
        <w:trPr>
          <w:trHeight w:val="247"/>
        </w:trPr>
        <w:tc>
          <w:tcPr>
            <w:tcW w:w="4680" w:type="dxa"/>
            <w:vAlign w:val="bottom"/>
            <w:tcBorders>
              <w:bottom w:val="single" w:sz="8" w:color="CCEEFF"/>
            </w:tcBorders>
          </w:tcPr>
          <w:p>
            <w:pPr>
              <w:ind w:left="220"/>
              <w:spacing w:after="0" w:line="247" w:lineRule="exact"/>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24"/>
                <w:szCs w:val="24"/>
                <w:color w:val="auto"/>
                <w:vertAlign w:val="superscript"/>
              </w:rPr>
              <w:t>(1)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42,166</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29,922</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28,015</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16,258</w:t>
            </w:r>
          </w:p>
        </w:tc>
      </w:tr>
      <w:tr>
        <w:trPr>
          <w:trHeight w:val="24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1,749,427</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1,480,244</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929,427</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767,070</w:t>
            </w:r>
          </w:p>
        </w:tc>
      </w:tr>
      <w:tr>
        <w:trPr>
          <w:trHeight w:val="240"/>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7"/>
        </w:trPr>
        <w:tc>
          <w:tcPr>
            <w:tcW w:w="46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Defense and Space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387,958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341,987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217,595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171,246</w:t>
            </w:r>
          </w:p>
        </w:tc>
      </w:tr>
      <w:tr>
        <w:trPr>
          <w:trHeight w:val="247"/>
        </w:trPr>
        <w:tc>
          <w:tcPr>
            <w:tcW w:w="4680" w:type="dxa"/>
            <w:vAlign w:val="bottom"/>
            <w:shd w:val="clear" w:color="auto" w:fill="CCEEFF"/>
          </w:tcPr>
          <w:p>
            <w:pPr>
              <w:ind w:left="220"/>
              <w:spacing w:after="0" w:line="247" w:lineRule="exact"/>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24"/>
                <w:szCs w:val="24"/>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240,852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205,340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129,458</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106,378</w:t>
            </w:r>
          </w:p>
        </w:tc>
      </w:tr>
      <w:tr>
        <w:trPr>
          <w:trHeight w:val="247"/>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Aerospace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201,397</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125,155</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112,479</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64,543</w:t>
            </w:r>
          </w:p>
        </w:tc>
      </w:tr>
      <w:tr>
        <w:trPr>
          <w:trHeight w:val="24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830,207</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672,482</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459,532</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342,167</w:t>
            </w:r>
          </w:p>
        </w:tc>
      </w:tr>
      <w:tr>
        <w:trPr>
          <w:trHeight w:val="240"/>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Intersegment sales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(25,339)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(24,684)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(13,246)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(11,417)</w:t>
            </w:r>
          </w:p>
        </w:tc>
      </w:tr>
      <w:tr>
        <w:trPr>
          <w:trHeight w:val="247"/>
        </w:trPr>
        <w:tc>
          <w:tcPr>
            <w:tcW w:w="46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6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consolidated net sales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$2,554,295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$2,128,042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$1,375,713</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$1,097,820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89"/>
        </w:trPr>
        <w:tc>
          <w:tcPr>
            <w:tcW w:w="468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r>
    </w:tbl>
    <w:p>
      <w:pPr>
        <w:spacing w:after="0" w:line="329" w:lineRule="exact"/>
        <w:rPr>
          <w:sz w:val="20"/>
          <w:szCs w:val="20"/>
          <w:color w:val="auto"/>
        </w:rPr>
      </w:pPr>
    </w:p>
    <w:p>
      <w:pPr>
        <w:ind w:left="320" w:hanging="277"/>
        <w:spacing w:after="0"/>
        <w:tabs>
          <w:tab w:leader="none" w:pos="320" w:val="left"/>
        </w:tabs>
        <w:numPr>
          <w:ilvl w:val="1"/>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Principally industrial products.</w:t>
      </w:r>
    </w:p>
    <w:p>
      <w:pPr>
        <w:spacing w:after="0" w:line="58" w:lineRule="exact"/>
        <w:rPr>
          <w:rFonts w:ascii="Times New Roman" w:cs="Times New Roman" w:eastAsia="Times New Roman" w:hAnsi="Times New Roman"/>
          <w:sz w:val="25"/>
          <w:szCs w:val="25"/>
          <w:color w:val="auto"/>
          <w:vertAlign w:val="superscript"/>
        </w:rPr>
      </w:pPr>
    </w:p>
    <w:p>
      <w:pPr>
        <w:ind w:left="320" w:hanging="277"/>
        <w:spacing w:after="0" w:line="189" w:lineRule="auto"/>
        <w:tabs>
          <w:tab w:leader="none" w:pos="320" w:val="left"/>
        </w:tabs>
        <w:numPr>
          <w:ilvl w:val="1"/>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Principally other electronics and medical products.</w:t>
      </w:r>
    </w:p>
    <w:p>
      <w:pPr>
        <w:spacing w:after="0" w:line="200" w:lineRule="exact"/>
        <w:rPr>
          <w:rFonts w:ascii="Times New Roman" w:cs="Times New Roman" w:eastAsia="Times New Roman" w:hAnsi="Times New Roman"/>
          <w:sz w:val="25"/>
          <w:szCs w:val="25"/>
          <w:color w:val="auto"/>
          <w:vertAlign w:val="superscript"/>
        </w:rPr>
      </w:pPr>
    </w:p>
    <w:p>
      <w:pPr>
        <w:spacing w:after="0" w:line="243" w:lineRule="exact"/>
        <w:rPr>
          <w:rFonts w:ascii="Times New Roman" w:cs="Times New Roman" w:eastAsia="Times New Roman" w:hAnsi="Times New Roman"/>
          <w:sz w:val="25"/>
          <w:szCs w:val="25"/>
          <w:color w:val="auto"/>
          <w:vertAlign w:val="superscript"/>
        </w:rPr>
      </w:pPr>
    </w:p>
    <w:p>
      <w:pPr>
        <w:ind w:left="420" w:hanging="416"/>
        <w:spacing w:after="0"/>
        <w:tabs>
          <w:tab w:leader="none" w:pos="420"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INCOME TAXES</w:t>
      </w:r>
    </w:p>
    <w:p>
      <w:pPr>
        <w:spacing w:after="0" w:line="243" w:lineRule="exact"/>
        <w:rPr>
          <w:sz w:val="20"/>
          <w:szCs w:val="20"/>
          <w:color w:val="auto"/>
        </w:rPr>
      </w:pPr>
    </w:p>
    <w:p>
      <w:pPr>
        <w:ind w:right="40" w:firstLine="623"/>
        <w:spacing w:after="0" w:line="266" w:lineRule="auto"/>
        <w:rPr>
          <w:sz w:val="20"/>
          <w:szCs w:val="20"/>
          <w:color w:val="auto"/>
        </w:rPr>
      </w:pPr>
      <w:r>
        <w:rPr>
          <w:rFonts w:ascii="Times New Roman" w:cs="Times New Roman" w:eastAsia="Times New Roman" w:hAnsi="Times New Roman"/>
          <w:sz w:val="21"/>
          <w:szCs w:val="21"/>
          <w:color w:val="auto"/>
        </w:rPr>
        <w:t>The Company's effective tax rate was 17.1% in the first six months of fiscal 2026, as compared to 14.4% in the first six months of fiscal 2025. The increase in the Company's effective tax rate principally reflects a smaller tax benefit from stock option exercises recognized in the first quarter of fiscal 2026. The Company recognized a discrete tax benefit from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exercises in the first quarter of fiscal 2026 and 2025 of $22.3 million and $27.2 million, respectively.</w:t>
      </w:r>
    </w:p>
    <w:p>
      <w:pPr>
        <w:spacing w:after="0" w:line="239" w:lineRule="exact"/>
        <w:rPr>
          <w:sz w:val="20"/>
          <w:szCs w:val="20"/>
          <w:color w:val="auto"/>
        </w:rPr>
      </w:pPr>
    </w:p>
    <w:p>
      <w:pPr>
        <w:ind w:right="160" w:firstLine="623"/>
        <w:spacing w:after="0" w:line="274" w:lineRule="auto"/>
        <w:rPr>
          <w:sz w:val="20"/>
          <w:szCs w:val="20"/>
          <w:color w:val="auto"/>
        </w:rPr>
      </w:pPr>
      <w:r>
        <w:rPr>
          <w:rFonts w:ascii="Times New Roman" w:cs="Times New Roman" w:eastAsia="Times New Roman" w:hAnsi="Times New Roman"/>
          <w:sz w:val="21"/>
          <w:szCs w:val="21"/>
          <w:color w:val="auto"/>
        </w:rPr>
        <w:t>The Company's effective tax rate was 21.2% in the second quarter of fiscal 2026, as compared to 21.0% in the second quarter of fiscal 2025.</w:t>
      </w:r>
    </w:p>
    <w:p>
      <w:pPr>
        <w:spacing w:after="0" w:line="200" w:lineRule="exact"/>
        <w:rPr>
          <w:sz w:val="20"/>
          <w:szCs w:val="20"/>
          <w:color w:val="auto"/>
        </w:rPr>
      </w:pPr>
    </w:p>
    <w:p>
      <w:pPr>
        <w:spacing w:after="0" w:line="21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8.</w:t>
      </w:r>
      <w:r>
        <w:rPr>
          <w:sz w:val="20"/>
          <w:szCs w:val="20"/>
          <w:color w:val="auto"/>
        </w:rPr>
        <w:tab/>
      </w:r>
      <w:r>
        <w:rPr>
          <w:rFonts w:ascii="Times New Roman" w:cs="Times New Roman" w:eastAsia="Times New Roman" w:hAnsi="Times New Roman"/>
          <w:sz w:val="20"/>
          <w:szCs w:val="20"/>
          <w:b w:val="1"/>
          <w:bCs w:val="1"/>
          <w:color w:val="auto"/>
        </w:rPr>
        <w:t>FAIR VALUE MEASUREMENTS</w:t>
      </w:r>
    </w:p>
    <w:p>
      <w:pPr>
        <w:spacing w:after="0" w:line="243" w:lineRule="exact"/>
        <w:rPr>
          <w:sz w:val="20"/>
          <w:szCs w:val="20"/>
          <w:color w:val="auto"/>
        </w:rPr>
      </w:pPr>
    </w:p>
    <w:p>
      <w:pPr>
        <w:ind w:right="200" w:firstLine="623"/>
        <w:spacing w:after="0" w:line="274" w:lineRule="auto"/>
        <w:rPr>
          <w:sz w:val="20"/>
          <w:szCs w:val="20"/>
          <w:color w:val="auto"/>
        </w:rPr>
      </w:pPr>
      <w:r>
        <w:rPr>
          <w:rFonts w:ascii="Times New Roman" w:cs="Times New Roman" w:eastAsia="Times New Roman" w:hAnsi="Times New Roman"/>
          <w:sz w:val="21"/>
          <w:szCs w:val="21"/>
          <w:color w:val="auto"/>
        </w:rPr>
        <w:t>The Company's assets and liabilities that were measured at fair value on a recurring basis are set forth by level within the fair value hierarchy in the following tables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Deferred compensation plan: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Corporate-owned life insurance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Money market fund</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assets</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Deferred compensation plan: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Corporate-owned life insurance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Money market fund</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assets</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As of April 30,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Borders>
              <w:top w:val="single" w:sz="8" w:color="auto"/>
            </w:tcBorders>
            <w:gridSpan w:val="2"/>
          </w:tcPr>
          <w:p>
            <w:pPr>
              <w:jc w:val="center"/>
              <w:ind w:right="140"/>
              <w:spacing w:after="0" w:line="162"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120" w:type="dxa"/>
            <w:vAlign w:val="bottom"/>
            <w:tcBorders>
              <w:top w:val="single" w:sz="8" w:color="auto"/>
            </w:tcBorders>
            <w:gridSpan w:val="2"/>
          </w:tcPr>
          <w:p>
            <w:pPr>
              <w:jc w:val="center"/>
              <w:ind w:right="160"/>
              <w:spacing w:after="0" w:line="162" w:lineRule="exact"/>
              <w:rPr>
                <w:sz w:val="20"/>
                <w:szCs w:val="20"/>
                <w:color w:val="auto"/>
              </w:rPr>
            </w:pPr>
            <w:r>
              <w:rPr>
                <w:rFonts w:ascii="Times New Roman" w:cs="Times New Roman" w:eastAsia="Times New Roman" w:hAnsi="Times New Roman"/>
                <w:sz w:val="17"/>
                <w:szCs w:val="17"/>
                <w:b w:val="1"/>
                <w:bCs w:val="1"/>
                <w:color w:val="auto"/>
              </w:rPr>
              <w:t>Significant</w:t>
            </w:r>
          </w:p>
        </w:tc>
        <w:tc>
          <w:tcPr>
            <w:tcW w:w="2100" w:type="dxa"/>
            <w:vAlign w:val="bottom"/>
            <w:tcBorders>
              <w:top w:val="single" w:sz="8" w:color="auto"/>
            </w:tcBorders>
            <w:gridSpan w:val="2"/>
          </w:tcPr>
          <w:p>
            <w:pPr>
              <w:jc w:val="center"/>
              <w:ind w:right="120"/>
              <w:spacing w:after="0" w:line="162" w:lineRule="exact"/>
              <w:rPr>
                <w:sz w:val="20"/>
                <w:szCs w:val="20"/>
                <w:color w:val="auto"/>
              </w:rPr>
            </w:pPr>
            <w:r>
              <w:rPr>
                <w:rFonts w:ascii="Times New Roman" w:cs="Times New Roman" w:eastAsia="Times New Roman" w:hAnsi="Times New Roman"/>
                <w:sz w:val="17"/>
                <w:szCs w:val="17"/>
                <w:b w:val="1"/>
                <w:bCs w:val="1"/>
                <w:color w:val="auto"/>
              </w:rPr>
              <w:t>Significant Unobservable</w:t>
            </w: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rPr>
              <w:t>in Active Markets for</w:t>
            </w:r>
          </w:p>
        </w:tc>
        <w:tc>
          <w:tcPr>
            <w:tcW w:w="21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Other Observable Inputs</w:t>
            </w:r>
          </w:p>
        </w:tc>
        <w:tc>
          <w:tcPr>
            <w:tcW w:w="210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7"/>
                <w:szCs w:val="17"/>
                <w:b w:val="1"/>
                <w:bCs w:val="1"/>
                <w:color w:val="auto"/>
              </w:rPr>
              <w:t>Inputs</w:t>
            </w: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Identical Assets (Level 1)</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$391,517</w:t>
            </w:r>
          </w:p>
        </w:tc>
        <w:tc>
          <w:tcPr>
            <w:tcW w:w="12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$391,517</w:t>
            </w:r>
          </w:p>
        </w:tc>
        <w:tc>
          <w:tcPr>
            <w:tcW w:w="0" w:type="dxa"/>
            <w:vAlign w:val="bottom"/>
          </w:tcPr>
          <w:p>
            <w:pPr>
              <w:spacing w:after="0"/>
              <w:rPr>
                <w:sz w:val="1"/>
                <w:szCs w:val="1"/>
                <w:color w:val="auto"/>
              </w:rPr>
            </w:pPr>
          </w:p>
        </w:tc>
      </w:tr>
      <w:tr>
        <w:trPr>
          <w:trHeight w:val="226"/>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100" w:type="dxa"/>
            <w:vAlign w:val="bottom"/>
          </w:tcPr>
          <w:p>
            <w:pPr>
              <w:spacing w:after="0"/>
              <w:rPr>
                <w:sz w:val="19"/>
                <w:szCs w:val="19"/>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0" w:type="dxa"/>
            <w:vAlign w:val="bottom"/>
          </w:tcPr>
          <w:p>
            <w:pPr>
              <w:spacing w:after="0"/>
              <w:rPr>
                <w:sz w:val="1"/>
                <w:szCs w:val="1"/>
                <w:color w:val="auto"/>
              </w:rPr>
            </w:pPr>
          </w:p>
        </w:tc>
      </w:tr>
      <w:tr>
        <w:trPr>
          <w:trHeight w:val="214"/>
        </w:trPr>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10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$391,517</w:t>
            </w:r>
          </w:p>
        </w:tc>
        <w:tc>
          <w:tcPr>
            <w:tcW w:w="1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$399,144</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$53,395</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$53,395</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7"/>
                <w:szCs w:val="17"/>
                <w:b w:val="1"/>
                <w:bCs w:val="1"/>
                <w:color w:val="auto"/>
              </w:rPr>
              <w:t>As of October 31, 2025</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1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7"/>
                <w:szCs w:val="17"/>
                <w:b w:val="1"/>
                <w:bCs w:val="1"/>
                <w:color w:val="auto"/>
              </w:rPr>
              <w:t>Significant</w:t>
            </w:r>
          </w:p>
        </w:tc>
        <w:tc>
          <w:tcPr>
            <w:tcW w:w="21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7"/>
                <w:szCs w:val="17"/>
                <w:b w:val="1"/>
                <w:bCs w:val="1"/>
                <w:color w:val="auto"/>
              </w:rPr>
              <w:t>Significant Unobservable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rPr>
              <w:t>in Active Markets for</w:t>
            </w:r>
          </w:p>
        </w:tc>
        <w:tc>
          <w:tcPr>
            <w:tcW w:w="21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Other Observable Inputs</w:t>
            </w:r>
          </w:p>
        </w:tc>
        <w:tc>
          <w:tcPr>
            <w:tcW w:w="210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7"/>
                <w:szCs w:val="17"/>
                <w:b w:val="1"/>
                <w:bCs w:val="1"/>
                <w:color w:val="auto"/>
              </w:rPr>
              <w:t>Inputs</w:t>
            </w: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Identical Assets (Level 1)</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$378,930</w:t>
            </w:r>
          </w:p>
        </w:tc>
        <w:tc>
          <w:tcPr>
            <w:tcW w:w="12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$378,930</w:t>
            </w:r>
          </w:p>
        </w:tc>
        <w:tc>
          <w:tcPr>
            <w:tcW w:w="0" w:type="dxa"/>
            <w:vAlign w:val="bottom"/>
          </w:tcPr>
          <w:p>
            <w:pPr>
              <w:spacing w:after="0"/>
              <w:rPr>
                <w:sz w:val="1"/>
                <w:szCs w:val="1"/>
                <w:color w:val="auto"/>
              </w:rPr>
            </w:pPr>
          </w:p>
        </w:tc>
      </w:tr>
      <w:tr>
        <w:trPr>
          <w:trHeight w:val="226"/>
        </w:trPr>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00" w:type="dxa"/>
            <w:vAlign w:val="bottom"/>
          </w:tcPr>
          <w:p>
            <w:pPr>
              <w:spacing w:after="0"/>
              <w:rPr>
                <w:sz w:val="19"/>
                <w:szCs w:val="19"/>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0" w:type="dxa"/>
            <w:vAlign w:val="bottom"/>
          </w:tcPr>
          <w:p>
            <w:pPr>
              <w:spacing w:after="0"/>
              <w:rPr>
                <w:sz w:val="1"/>
                <w:szCs w:val="1"/>
                <w:color w:val="auto"/>
              </w:rPr>
            </w:pPr>
          </w:p>
        </w:tc>
      </w:tr>
      <w:tr>
        <w:trPr>
          <w:trHeight w:val="214"/>
        </w:trPr>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0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$378,930</w:t>
            </w:r>
          </w:p>
        </w:tc>
        <w:tc>
          <w:tcPr>
            <w:tcW w:w="1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$390,870</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$46,198</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$46,198</w:t>
            </w:r>
          </w:p>
        </w:tc>
        <w:tc>
          <w:tcPr>
            <w:tcW w:w="0" w:type="dxa"/>
            <w:vAlign w:val="bottom"/>
          </w:tcPr>
          <w:p>
            <w:pPr>
              <w:spacing w:after="0"/>
              <w:rPr>
                <w:sz w:val="1"/>
                <w:szCs w:val="1"/>
                <w:color w:val="auto"/>
              </w:rPr>
            </w:pPr>
          </w:p>
        </w:tc>
      </w:tr>
      <w:tr>
        <w:trPr>
          <w:trHeight w:val="20"/>
        </w:trPr>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-3032125</wp:posOffset>
            </wp:positionV>
            <wp:extent cx="7120890"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-2752090</wp:posOffset>
            </wp:positionV>
            <wp:extent cx="7120890"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-2472055</wp:posOffset>
            </wp:positionV>
            <wp:extent cx="7120890" cy="165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0890" cy="1651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-2142490</wp:posOffset>
            </wp:positionV>
            <wp:extent cx="7120890" cy="14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-1202690</wp:posOffset>
            </wp:positionV>
            <wp:extent cx="7120890" cy="140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-922655</wp:posOffset>
            </wp:positionV>
            <wp:extent cx="7120890" cy="140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0890" cy="14033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-641985</wp:posOffset>
            </wp:positionV>
            <wp:extent cx="7120890" cy="165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0890" cy="1651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-312420</wp:posOffset>
            </wp:positionV>
            <wp:extent cx="7120890" cy="14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0890" cy="140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00"/>
          </w:cols>
          <w:pgMar w:left="320" w:top="121" w:right="359" w:bottom="1440" w:gutter="0" w:footer="0" w:header="0"/>
          <w:type w:val="continuous"/>
        </w:sectPr>
      </w:pPr>
    </w:p>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The Company maintains the HEICO Corporation Leadership Compensation Plan (the "LCP"), which is a non-qualified</w:t>
      </w:r>
    </w:p>
    <w:p>
      <w:pPr>
        <w:spacing w:after="0" w:line="3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deferred compensation plan. The assets of the LCP principally represent cash surrender values of life insurance policies, which derive their fair values from investments in mutual funds that are managed by an insurance company, and are classified within Level 2 and valued using a market approach. Certain other assets of the LCP represent an investment in a money market fund that is classified within Level 1. The assets of the LCP are held within an irrevocable trust and classified within other assets in the Company’s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Consolidated Balance Sheets. The related liabilities of the LCP are included within other long-term liabilities and accrued expenses and other current liabilities in the Company’s Condensed Consolidated Balance Sheets and have an aggregate value of $390.7 million as of April 30, 2026 and $385.7 million as of October 31, 2025.</w:t>
      </w:r>
    </w:p>
    <w:p>
      <w:pPr>
        <w:spacing w:after="0" w:line="205" w:lineRule="exact"/>
        <w:rPr>
          <w:sz w:val="20"/>
          <w:szCs w:val="20"/>
          <w:color w:val="auto"/>
        </w:rPr>
      </w:pPr>
    </w:p>
    <w:p>
      <w:pPr>
        <w:ind w:right="6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90% of the stock of a subsidiary by the ETG in fiscal 2026, the Company may be obligated to pay contingent consideration of up to $4.1 million in fiscal 2030 based on the earnings of the acquired entity during fiscal years 2028 and 2029. As of April 30, 2026, the estimated fair value of the contingent consideration was $2.7 million.</w:t>
      </w:r>
    </w:p>
    <w:p>
      <w:pPr>
        <w:spacing w:after="0" w:line="192" w:lineRule="exact"/>
        <w:rPr>
          <w:sz w:val="20"/>
          <w:szCs w:val="20"/>
          <w:color w:val="auto"/>
        </w:rPr>
      </w:pPr>
    </w:p>
    <w:p>
      <w:pPr>
        <w:ind w:right="20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90% of the membership interests of a subsidiary by the FSG in fiscal 2025, the Company may be obligated to pay contingent consideration of up to $21.1 million in fiscal 2028 based on the earnings of the acquired entity during the three-year period following the acquisition provided the entity meets a certain earnings objective over the same three-year period. As of April 30, 2026, the estimated fair value of the contingent consideration was $14.7 million.</w:t>
      </w:r>
    </w:p>
    <w:p>
      <w:pPr>
        <w:spacing w:after="0" w:line="191" w:lineRule="exact"/>
        <w:rPr>
          <w:sz w:val="20"/>
          <w:szCs w:val="20"/>
          <w:color w:val="auto"/>
        </w:rPr>
      </w:pPr>
    </w:p>
    <w:p>
      <w:pPr>
        <w:ind w:right="8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96% of the stock of a subsidiary by the FSG in fiscal 2022, the Company may be obligated to pay contingent consideration of up to $27.4 million in fiscal 2027 based on the earnings of the acquired entity during fiscal years 2025 and 2026. As of April 30, 2026, the estimated fair value of the contingent consideration was $22.9 million.</w:t>
      </w:r>
    </w:p>
    <w:p>
      <w:pPr>
        <w:spacing w:after="0" w:line="192" w:lineRule="exact"/>
        <w:rPr>
          <w:sz w:val="20"/>
          <w:szCs w:val="20"/>
          <w:color w:val="auto"/>
        </w:rPr>
      </w:pPr>
    </w:p>
    <w:p>
      <w:pPr>
        <w:ind w:right="220" w:firstLine="623"/>
        <w:spacing w:after="0" w:line="259" w:lineRule="auto"/>
        <w:rPr>
          <w:sz w:val="20"/>
          <w:szCs w:val="20"/>
          <w:color w:val="auto"/>
        </w:rPr>
      </w:pPr>
      <w:r>
        <w:rPr>
          <w:rFonts w:ascii="Times New Roman" w:cs="Times New Roman" w:eastAsia="Times New Roman" w:hAnsi="Times New Roman"/>
          <w:sz w:val="21"/>
          <w:szCs w:val="21"/>
          <w:color w:val="auto"/>
        </w:rPr>
        <w:t>As part of the agreement to acquire 74% of the membership interests of a subsidiary by the FSG in fiscal 2022, the Company may be obligated to pay contingent consideration of $14.1 million in fiscal 2027 should the acquired entity meet a certain earnings objective during the five-year period following the acquisition. As of April 30, 2026, the estimated fair value of the contingent consideration was $13.2 million.</w:t>
      </w:r>
    </w:p>
    <w:p>
      <w:pPr>
        <w:spacing w:after="0" w:line="191" w:lineRule="exact"/>
        <w:rPr>
          <w:sz w:val="20"/>
          <w:szCs w:val="20"/>
          <w:color w:val="auto"/>
        </w:rPr>
      </w:pPr>
    </w:p>
    <w:p>
      <w:pPr>
        <w:ind w:firstLine="623"/>
        <w:spacing w:after="0" w:line="253" w:lineRule="auto"/>
        <w:rPr>
          <w:sz w:val="20"/>
          <w:szCs w:val="20"/>
          <w:color w:val="auto"/>
        </w:rPr>
      </w:pPr>
      <w:r>
        <w:rPr>
          <w:rFonts w:ascii="Times New Roman" w:cs="Times New Roman" w:eastAsia="Times New Roman" w:hAnsi="Times New Roman"/>
          <w:sz w:val="21"/>
          <w:szCs w:val="21"/>
          <w:color w:val="auto"/>
        </w:rPr>
        <w:t>The estimated fair values of the contingent consideration arrangements described above are classified within Level 3 and were determined using a probability-based scenario analysis approach. Under this method, a set of discrete potential future subsidiary earnings was determined using internal estimates based on various revenue growth rate assumptions for each scenario. A probability of likelihood was assigned to each discrete potential future earnings estimate and the resultant contingent consideration was calculated. The resulting probability-weighted contingent consideration amounts were discounted using a weighted average discount rate reflecting the credit risk of a market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60" w:firstLine="623"/>
        <w:spacing w:after="0" w:line="274" w:lineRule="auto"/>
        <w:rPr>
          <w:sz w:val="20"/>
          <w:szCs w:val="20"/>
          <w:color w:val="auto"/>
        </w:rPr>
      </w:pPr>
      <w:r>
        <w:rPr>
          <w:rFonts w:ascii="Times New Roman" w:cs="Times New Roman" w:eastAsia="Times New Roman" w:hAnsi="Times New Roman"/>
          <w:sz w:val="21"/>
          <w:szCs w:val="21"/>
          <w:color w:val="auto"/>
        </w:rPr>
        <w:t>The following unobservable inputs were used to derive the estimated fair value of the Company's Level 3 contingent consideration liabilities as of April 30,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gridSpan w:val="2"/>
          </w:tcPr>
          <w:p>
            <w:pPr>
              <w:jc w:val="center"/>
              <w:ind w:right="440"/>
              <w:spacing w:after="0"/>
              <w:rPr>
                <w:sz w:val="20"/>
                <w:szCs w:val="20"/>
                <w:color w:val="auto"/>
              </w:rPr>
            </w:pPr>
            <w:r>
              <w:rPr>
                <w:rFonts w:ascii="Times New Roman" w:cs="Times New Roman" w:eastAsia="Times New Roman" w:hAnsi="Times New Roman"/>
                <w:sz w:val="19"/>
                <w:szCs w:val="19"/>
                <w:b w:val="1"/>
                <w:bCs w:val="1"/>
                <w:color w:val="auto"/>
                <w:w w:val="98"/>
              </w:rPr>
              <w:t>Acquisition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Fair Value</w:t>
            </w:r>
          </w:p>
        </w:tc>
        <w:tc>
          <w:tcPr>
            <w:tcW w:w="80" w:type="dxa"/>
            <w:vAlign w:val="bottom"/>
          </w:tcPr>
          <w:p>
            <w:pPr>
              <w:spacing w:after="0"/>
              <w:rPr>
                <w:sz w:val="21"/>
                <w:szCs w:val="21"/>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Unobservable</w:t>
            </w: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Weighted</w:t>
            </w:r>
          </w:p>
        </w:tc>
      </w:tr>
      <w:tr>
        <w:trPr>
          <w:trHeight w:val="258"/>
        </w:trPr>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80" w:type="dxa"/>
            <w:vAlign w:val="bottom"/>
          </w:tcPr>
          <w:p>
            <w:pPr>
              <w:spacing w:after="0"/>
              <w:rPr>
                <w:sz w:val="22"/>
                <w:szCs w:val="22"/>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Input</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9"/>
                <w:szCs w:val="19"/>
                <w:b w:val="1"/>
                <w:bCs w:val="1"/>
                <w:color w:val="auto"/>
              </w:rPr>
              <w:t>Range</w:t>
            </w:r>
          </w:p>
        </w:tc>
        <w:tc>
          <w:tcPr>
            <w:tcW w:w="2000" w:type="dxa"/>
            <w:vAlign w:val="bottom"/>
          </w:tcPr>
          <w:p>
            <w:pPr>
              <w:jc w:val="center"/>
              <w:spacing w:after="0" w:line="258" w:lineRule="exact"/>
              <w:rPr>
                <w:sz w:val="20"/>
                <w:szCs w:val="20"/>
                <w:color w:val="auto"/>
              </w:rPr>
            </w:pPr>
            <w:r>
              <w:rPr>
                <w:rFonts w:ascii="Times New Roman" w:cs="Times New Roman" w:eastAsia="Times New Roman" w:hAnsi="Times New Roman"/>
                <w:sz w:val="19"/>
                <w:szCs w:val="19"/>
                <w:b w:val="1"/>
                <w:bCs w:val="1"/>
                <w:color w:val="auto"/>
                <w:w w:val="92"/>
              </w:rPr>
              <w:t xml:space="preserve">Average </w:t>
            </w:r>
            <w:r>
              <w:rPr>
                <w:rFonts w:ascii="Times New Roman" w:cs="Times New Roman" w:eastAsia="Times New Roman" w:hAnsi="Times New Roman"/>
                <w:sz w:val="24"/>
                <w:szCs w:val="24"/>
                <w:b w:val="1"/>
                <w:bCs w:val="1"/>
                <w:color w:val="auto"/>
                <w:w w:val="92"/>
                <w:vertAlign w:val="superscript"/>
              </w:rPr>
              <w:t>(1)</w:t>
            </w:r>
          </w:p>
        </w:tc>
      </w:tr>
      <w:tr>
        <w:trPr>
          <w:trHeight w:val="240"/>
        </w:trPr>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7"/>
              </w:rPr>
              <w:t>4-8-2026</w:t>
            </w:r>
          </w:p>
        </w:tc>
        <w:tc>
          <w:tcPr>
            <w:tcW w:w="44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$2,699</w:t>
            </w:r>
          </w:p>
        </w:tc>
        <w:tc>
          <w:tcPr>
            <w:tcW w:w="8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1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9"/>
                <w:szCs w:val="19"/>
                <w:color w:val="auto"/>
              </w:rPr>
              <w:t>0% - 10%</w:t>
            </w:r>
          </w:p>
        </w:tc>
        <w:tc>
          <w:tcPr>
            <w:tcW w:w="10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4"/>
              </w:rPr>
              <w:t>7%</w:t>
            </w:r>
          </w:p>
        </w:tc>
      </w:tr>
      <w:tr>
        <w:trPr>
          <w:trHeight w:val="247"/>
        </w:trPr>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- 8.0%</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8.0%</w:t>
            </w:r>
          </w:p>
        </w:tc>
      </w:tr>
      <w:tr>
        <w:trPr>
          <w:trHeight w:val="260"/>
        </w:trPr>
        <w:tc>
          <w:tcPr>
            <w:tcW w:w="1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47"/>
        </w:trPr>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1-31-2025</w:t>
            </w:r>
          </w:p>
        </w:tc>
        <w:tc>
          <w:tcPr>
            <w:tcW w:w="4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14,650</w:t>
            </w:r>
          </w:p>
        </w:tc>
        <w:tc>
          <w:tcPr>
            <w:tcW w:w="80" w:type="dxa"/>
            <w:vAlign w:val="bottom"/>
          </w:tcPr>
          <w:p>
            <w:pPr>
              <w:spacing w:after="0"/>
              <w:rPr>
                <w:sz w:val="21"/>
                <w:szCs w:val="21"/>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1500" w:type="dxa"/>
            <w:vAlign w:val="bottom"/>
            <w:gridSpan w:val="2"/>
          </w:tcPr>
          <w:p>
            <w:pPr>
              <w:jc w:val="right"/>
              <w:ind w:right="205"/>
              <w:spacing w:after="0"/>
              <w:rPr>
                <w:sz w:val="20"/>
                <w:szCs w:val="20"/>
                <w:color w:val="auto"/>
              </w:rPr>
            </w:pPr>
            <w:r>
              <w:rPr>
                <w:rFonts w:ascii="Times New Roman" w:cs="Times New Roman" w:eastAsia="Times New Roman" w:hAnsi="Times New Roman"/>
                <w:sz w:val="19"/>
                <w:szCs w:val="19"/>
                <w:color w:val="auto"/>
              </w:rPr>
              <w:t>(1%) - 19%</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w:t>
            </w:r>
          </w:p>
        </w:tc>
      </w:tr>
      <w:tr>
        <w:trPr>
          <w:trHeight w:val="247"/>
        </w:trPr>
        <w:tc>
          <w:tcPr>
            <w:tcW w:w="1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Discount rate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- 6.5%</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6.5%</w:t>
            </w:r>
          </w:p>
        </w:tc>
      </w:tr>
      <w:tr>
        <w:trPr>
          <w:trHeight w:val="260"/>
        </w:trPr>
        <w:tc>
          <w:tcPr>
            <w:tcW w:w="1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47"/>
        </w:trPr>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7-18-2022</w:t>
            </w: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22,861</w:t>
            </w:r>
          </w:p>
        </w:tc>
        <w:tc>
          <w:tcPr>
            <w:tcW w:w="8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- 9%</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4"/>
              </w:rPr>
              <w:t>7%</w:t>
            </w:r>
          </w:p>
        </w:tc>
      </w:tr>
      <w:tr>
        <w:trPr>
          <w:trHeight w:val="247"/>
        </w:trPr>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- 7.0%</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7.0%</w:t>
            </w:r>
          </w:p>
        </w:tc>
      </w:tr>
      <w:tr>
        <w:trPr>
          <w:trHeight w:val="260"/>
        </w:trPr>
        <w:tc>
          <w:tcPr>
            <w:tcW w:w="1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47"/>
        </w:trPr>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3-17-2022</w:t>
            </w:r>
          </w:p>
        </w:tc>
        <w:tc>
          <w:tcPr>
            <w:tcW w:w="4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13,185</w:t>
            </w:r>
          </w:p>
        </w:tc>
        <w:tc>
          <w:tcPr>
            <w:tcW w:w="80" w:type="dxa"/>
            <w:vAlign w:val="bottom"/>
          </w:tcPr>
          <w:p>
            <w:pPr>
              <w:spacing w:after="0"/>
              <w:rPr>
                <w:sz w:val="21"/>
                <w:szCs w:val="21"/>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9"/>
              </w:rPr>
              <w:t>Compound annual revenue growth rate</w:t>
            </w:r>
          </w:p>
        </w:tc>
        <w:tc>
          <w:tcPr>
            <w:tcW w:w="1500" w:type="dxa"/>
            <w:vAlign w:val="bottom"/>
            <w:gridSpan w:val="2"/>
          </w:tcPr>
          <w:p>
            <w:pPr>
              <w:jc w:val="right"/>
              <w:ind w:right="225"/>
              <w:spacing w:after="0"/>
              <w:rPr>
                <w:sz w:val="20"/>
                <w:szCs w:val="20"/>
                <w:color w:val="auto"/>
              </w:rPr>
            </w:pPr>
            <w:r>
              <w:rPr>
                <w:rFonts w:ascii="Times New Roman" w:cs="Times New Roman" w:eastAsia="Times New Roman" w:hAnsi="Times New Roman"/>
                <w:sz w:val="19"/>
                <w:szCs w:val="19"/>
                <w:color w:val="auto"/>
              </w:rPr>
              <w:t>(4%) - 11%</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8%</w:t>
            </w:r>
          </w:p>
        </w:tc>
      </w:tr>
      <w:tr>
        <w:trPr>
          <w:trHeight w:val="247"/>
        </w:trPr>
        <w:tc>
          <w:tcPr>
            <w:tcW w:w="1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Discount rate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- 7.0%</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7.0%</w:t>
            </w:r>
          </w:p>
        </w:tc>
      </w:tr>
      <w:tr>
        <w:trPr>
          <w:trHeight w:val="260"/>
        </w:trPr>
        <w:tc>
          <w:tcPr>
            <w:tcW w:w="1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r>
    </w:tbl>
    <w:p>
      <w:pPr>
        <w:spacing w:after="0" w:line="134" w:lineRule="exact"/>
        <w:rPr>
          <w:sz w:val="20"/>
          <w:szCs w:val="20"/>
          <w:color w:val="auto"/>
        </w:rPr>
      </w:pPr>
    </w:p>
    <w:p>
      <w:pPr>
        <w:ind w:left="280" w:hanging="276"/>
        <w:spacing w:after="0"/>
        <w:tabs>
          <w:tab w:leader="none" w:pos="2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Unobservable inputs were weighted by the relative fair value of the contingent consideration liability.</w:t>
      </w:r>
    </w:p>
    <w:p>
      <w:pPr>
        <w:spacing w:after="0" w:line="213" w:lineRule="exact"/>
        <w:rPr>
          <w:sz w:val="20"/>
          <w:szCs w:val="20"/>
          <w:color w:val="auto"/>
        </w:rPr>
      </w:pPr>
    </w:p>
    <w:p>
      <w:pPr>
        <w:ind w:right="160" w:firstLine="623"/>
        <w:spacing w:after="0" w:line="274" w:lineRule="auto"/>
        <w:rPr>
          <w:sz w:val="20"/>
          <w:szCs w:val="20"/>
          <w:color w:val="auto"/>
        </w:rPr>
      </w:pPr>
      <w:r>
        <w:rPr>
          <w:rFonts w:ascii="Times New Roman" w:cs="Times New Roman" w:eastAsia="Times New Roman" w:hAnsi="Times New Roman"/>
          <w:sz w:val="21"/>
          <w:szCs w:val="21"/>
          <w:color w:val="auto"/>
        </w:rPr>
        <w:t>Changes in the Company’s contingent consideration liabilities measured at fair value on a recurring basis using unobservable inputs (Level 3) for the six months ended April 30, 2026 are as follows (in thousands):</w:t>
      </w:r>
    </w:p>
    <w:p>
      <w:pPr>
        <w:sectPr>
          <w:pgSz w:w="11900" w:h="16838" w:orient="portrait"/>
          <w:cols w:equalWidth="0" w:num="1">
            <w:col w:w="11180"/>
          </w:cols>
          <w:pgMar w:left="320" w:top="121" w:right="399" w:bottom="1440" w:gutter="0" w:footer="0" w:header="0"/>
        </w:sect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Balance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137400" cy="165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Increase in accrued contingent consideration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Contingent consideration related to an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137400" cy="156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Balance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137400" cy="165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68" w:lineRule="exact"/>
        <w:rPr>
          <w:sz w:val="20"/>
          <w:szCs w:val="20"/>
          <w:color w:val="auto"/>
        </w:rPr>
      </w:pPr>
    </w:p>
    <w:p>
      <w:pPr>
        <w:ind w:left="220" w:right="3720" w:hanging="202"/>
        <w:spacing w:after="0" w:line="243" w:lineRule="auto"/>
        <w:rPr>
          <w:sz w:val="20"/>
          <w:szCs w:val="20"/>
          <w:color w:val="auto"/>
        </w:rPr>
      </w:pPr>
      <w:r>
        <w:rPr>
          <w:rFonts w:ascii="Times New Roman" w:cs="Times New Roman" w:eastAsia="Times New Roman" w:hAnsi="Times New Roman"/>
          <w:sz w:val="19"/>
          <w:szCs w:val="19"/>
          <w:color w:val="auto"/>
        </w:rPr>
        <w:t>Included in the accompanying Condensed Consolidated Balance Sheet under the following captions: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37400" cy="156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37400" cy="181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Liabilities</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$46,198</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4,502</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22225</wp:posOffset>
            </wp:positionV>
            <wp:extent cx="1277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24130</wp:posOffset>
            </wp:positionV>
            <wp:extent cx="1277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$22,861</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30,534</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48895</wp:posOffset>
            </wp:positionV>
            <wp:extent cx="1277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340"/>
          </w:cols>
          <w:pgMar w:left="320" w:top="121" w:right="399" w:bottom="1440" w:gutter="0" w:footer="0" w:header="0"/>
          <w:type w:val="continuous"/>
        </w:sectPr>
      </w:pPr>
    </w:p>
    <w:p>
      <w:pPr>
        <w:spacing w:after="0" w:line="200" w:lineRule="exact"/>
        <w:rPr>
          <w:sz w:val="20"/>
          <w:szCs w:val="20"/>
          <w:color w:val="auto"/>
        </w:rPr>
      </w:pPr>
    </w:p>
    <w:p>
      <w:pPr>
        <w:ind w:right="380" w:firstLine="623"/>
        <w:spacing w:after="0" w:line="274" w:lineRule="auto"/>
        <w:rPr>
          <w:sz w:val="20"/>
          <w:szCs w:val="20"/>
          <w:color w:val="auto"/>
        </w:rPr>
      </w:pPr>
      <w:r>
        <w:rPr>
          <w:rFonts w:ascii="Times New Roman" w:cs="Times New Roman" w:eastAsia="Times New Roman" w:hAnsi="Times New Roman"/>
          <w:sz w:val="21"/>
          <w:szCs w:val="21"/>
          <w:color w:val="auto"/>
        </w:rPr>
        <w:t>The Company records changes in accrued contingent consideration within SG&amp;A expenses in its Condensed Consolidated Statements of Operations.</w:t>
      </w:r>
    </w:p>
    <w:p>
      <w:pPr>
        <w:spacing w:after="0" w:line="175" w:lineRule="exact"/>
        <w:rPr>
          <w:sz w:val="20"/>
          <w:szCs w:val="20"/>
          <w:color w:val="auto"/>
        </w:rPr>
      </w:pPr>
    </w:p>
    <w:p>
      <w:pPr>
        <w:jc w:val="both"/>
        <w:ind w:right="120" w:firstLine="623"/>
        <w:spacing w:after="0" w:line="266" w:lineRule="auto"/>
        <w:rPr>
          <w:sz w:val="20"/>
          <w:szCs w:val="20"/>
          <w:color w:val="auto"/>
        </w:rPr>
      </w:pPr>
      <w:r>
        <w:rPr>
          <w:rFonts w:ascii="Times New Roman" w:cs="Times New Roman" w:eastAsia="Times New Roman" w:hAnsi="Times New Roman"/>
          <w:sz w:val="21"/>
          <w:szCs w:val="21"/>
          <w:color w:val="auto"/>
        </w:rPr>
        <w:t>The carrying amounts of the Company’s cash and cash equivalents, accounts receivable, trade accounts payable and accrued expenses and other current liabilities approximate fair value as of April 30, 2026 due to the relatively short maturity of the respective instruments.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21"/>
          <w:szCs w:val="21"/>
          <w:color w:val="auto"/>
        </w:rPr>
        <w:t>carrying amount of borrowings under the Company's Credit Facility approximates fair value due to its variable interest rate. See Note 5, Long-Term Debt, for the estimated fair value of the Company’s senior unsecured notes.</w:t>
      </w:r>
    </w:p>
    <w:p>
      <w:pPr>
        <w:spacing w:after="0" w:line="200" w:lineRule="exact"/>
        <w:rPr>
          <w:sz w:val="20"/>
          <w:szCs w:val="20"/>
          <w:color w:val="auto"/>
        </w:rPr>
      </w:pPr>
    </w:p>
    <w:p>
      <w:pPr>
        <w:spacing w:after="0" w:line="20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9.</w:t>
      </w:r>
      <w:r>
        <w:rPr>
          <w:sz w:val="20"/>
          <w:szCs w:val="20"/>
          <w:color w:val="auto"/>
        </w:rPr>
        <w:tab/>
      </w:r>
      <w:r>
        <w:rPr>
          <w:rFonts w:ascii="Times New Roman" w:cs="Times New Roman" w:eastAsia="Times New Roman" w:hAnsi="Times New Roman"/>
          <w:sz w:val="20"/>
          <w:szCs w:val="20"/>
          <w:b w:val="1"/>
          <w:bCs w:val="1"/>
          <w:color w:val="auto"/>
        </w:rPr>
        <w:t>NET INCOME PER SHARE ATTRIBUTABLE TO HEICO SHAREHOLDERS</w:t>
      </w:r>
    </w:p>
    <w:p>
      <w:pPr>
        <w:spacing w:after="0" w:line="256" w:lineRule="exact"/>
        <w:rPr>
          <w:sz w:val="20"/>
          <w:szCs w:val="20"/>
          <w:color w:val="auto"/>
        </w:rPr>
      </w:pPr>
    </w:p>
    <w:p>
      <w:pPr>
        <w:ind w:right="240" w:firstLine="204"/>
        <w:spacing w:after="0" w:line="259" w:lineRule="auto"/>
        <w:rPr>
          <w:sz w:val="20"/>
          <w:szCs w:val="20"/>
          <w:color w:val="auto"/>
        </w:rPr>
      </w:pPr>
      <w:r>
        <w:rPr>
          <w:rFonts w:ascii="Times New Roman" w:cs="Times New Roman" w:eastAsia="Times New Roman" w:hAnsi="Times New Roman"/>
          <w:sz w:val="21"/>
          <w:szCs w:val="21"/>
          <w:color w:val="auto"/>
        </w:rPr>
        <w:t>The computation of basic and diluted net income per share attributable to HEICO shareholders is as follows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00" w:type="dxa"/>
            <w:vAlign w:val="bottom"/>
          </w:tcPr>
          <w:p>
            <w:pPr>
              <w:spacing w:after="0"/>
              <w:rPr>
                <w:sz w:val="22"/>
                <w:szCs w:val="22"/>
                <w:color w:val="auto"/>
              </w:rPr>
            </w:pPr>
          </w:p>
        </w:tc>
        <w:tc>
          <w:tcPr>
            <w:tcW w:w="3820" w:type="dxa"/>
            <w:vAlign w:val="bottom"/>
            <w:gridSpan w:val="4"/>
          </w:tcPr>
          <w:p>
            <w:pPr>
              <w:ind w:left="76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700" w:type="dxa"/>
            <w:vAlign w:val="bottom"/>
            <w:gridSpan w:val="3"/>
          </w:tcPr>
          <w:p>
            <w:pPr>
              <w:jc w:val="right"/>
              <w:ind w:right="54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Numerator:</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$423,989</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$324,748</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$233,801</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$156,793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Denominator:</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20"/>
              <w:spacing w:after="0" w:line="185" w:lineRule="exact"/>
              <w:rPr>
                <w:sz w:val="20"/>
                <w:szCs w:val="20"/>
                <w:color w:val="auto"/>
              </w:rPr>
            </w:pPr>
            <w:r>
              <w:rPr>
                <w:rFonts w:ascii="Times New Roman" w:cs="Times New Roman" w:eastAsia="Times New Roman" w:hAnsi="Times New Roman"/>
                <w:sz w:val="19"/>
                <w:szCs w:val="19"/>
                <w:color w:val="auto"/>
              </w:rPr>
              <w:t>Weighted average common shares</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139,464</w:t>
            </w:r>
          </w:p>
        </w:tc>
        <w:tc>
          <w:tcPr>
            <w:tcW w:w="120" w:type="dxa"/>
            <w:vAlign w:val="bottom"/>
            <w:shd w:val="clear" w:color="auto" w:fill="CCEEFF"/>
          </w:tcPr>
          <w:p>
            <w:pPr>
              <w:spacing w:after="0"/>
              <w:rPr>
                <w:sz w:val="16"/>
                <w:szCs w:val="16"/>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138,921</w:t>
            </w:r>
          </w:p>
        </w:tc>
        <w:tc>
          <w:tcPr>
            <w:tcW w:w="12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139,561</w:t>
            </w:r>
          </w:p>
        </w:tc>
        <w:tc>
          <w:tcPr>
            <w:tcW w:w="10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139,005</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outstanding - basic</w:t>
            </w: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Effect of dilutive stock options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1,585</w:t>
            </w:r>
          </w:p>
        </w:tc>
        <w:tc>
          <w:tcPr>
            <w:tcW w:w="12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1,620</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1,507</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1,594</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9"/>
                <w:szCs w:val="19"/>
                <w:color w:val="auto"/>
              </w:rPr>
              <w:t>Weighted average common shares</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141,049</w:t>
            </w:r>
          </w:p>
        </w:tc>
        <w:tc>
          <w:tcPr>
            <w:tcW w:w="1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140,541</w:t>
            </w:r>
          </w:p>
        </w:tc>
        <w:tc>
          <w:tcPr>
            <w:tcW w:w="1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141,068</w:t>
            </w:r>
          </w:p>
        </w:tc>
        <w:tc>
          <w:tcPr>
            <w:tcW w:w="1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140,599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outstanding - diluted</w:t>
            </w: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9"/>
                <w:szCs w:val="19"/>
                <w:color w:val="auto"/>
              </w:rPr>
              <w:t>Net income per share attributable to HEICO</w:t>
            </w: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shareholders:</w:t>
            </w: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Basic</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9"/>
                <w:szCs w:val="19"/>
                <w:color w:val="auto"/>
              </w:rPr>
              <w:t>Diluted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$3.01</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$2.31</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$1.66</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0" w:type="dxa"/>
            <w:vAlign w:val="bottom"/>
          </w:tcPr>
          <w:p>
            <w:pPr>
              <w:spacing w:after="0"/>
              <w:rPr>
                <w:sz w:val="1"/>
                <w:szCs w:val="1"/>
                <w:color w:val="auto"/>
              </w:rPr>
            </w:pPr>
          </w:p>
        </w:tc>
      </w:tr>
      <w:tr>
        <w:trPr>
          <w:trHeight w:val="260"/>
        </w:trPr>
        <w:tc>
          <w:tcPr>
            <w:tcW w:w="3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Anti-dilutive stock options excluded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816</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397</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1,001</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6"/>
        <w:spacing w:after="0"/>
        <w:tabs>
          <w:tab w:leader="none" w:pos="48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OPERATING SEGMENTS</w:t>
      </w:r>
    </w:p>
    <w:p>
      <w:pPr>
        <w:spacing w:after="0" w:line="243" w:lineRule="exact"/>
        <w:rPr>
          <w:sz w:val="20"/>
          <w:szCs w:val="20"/>
          <w:color w:val="auto"/>
        </w:rPr>
      </w:pPr>
    </w:p>
    <w:p>
      <w:pPr>
        <w:ind w:right="220" w:firstLine="623"/>
        <w:spacing w:after="0" w:line="252" w:lineRule="auto"/>
        <w:rPr>
          <w:sz w:val="20"/>
          <w:szCs w:val="20"/>
          <w:color w:val="auto"/>
        </w:rPr>
      </w:pPr>
      <w:r>
        <w:rPr>
          <w:rFonts w:ascii="Times New Roman" w:cs="Times New Roman" w:eastAsia="Times New Roman" w:hAnsi="Times New Roman"/>
          <w:sz w:val="21"/>
          <w:szCs w:val="21"/>
          <w:color w:val="auto"/>
        </w:rPr>
        <w:t>The financial results of the Company’s operating segments are reported on the same basis used internally by its Chief Operating Decision Maker (“CODM”). The Company’s Co-Chief Executive Officers serve together as the CODM. The primary measure used by the CODM and management to evaluate segment performance and to make decisions regarding resource allocation and business direction is segment operating income. The CODM uses segment operating income to allocate resources, including personnel and financial resources, among the Company’s operating segments, primarily in connection with the annual planning process, and to monitor segment performance relative to prior periods, budgeted expectations, and anticipated future results. The Company generally accounts for intersegment net sales as if the sales were to third parties at current market prices, and any such net sales and associated profit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firstLine="623"/>
        <w:spacing w:after="0" w:line="274" w:lineRule="auto"/>
        <w:rPr>
          <w:sz w:val="20"/>
          <w:szCs w:val="20"/>
          <w:color w:val="auto"/>
        </w:rPr>
      </w:pPr>
      <w:r>
        <w:rPr>
          <w:rFonts w:ascii="Times New Roman" w:cs="Times New Roman" w:eastAsia="Times New Roman" w:hAnsi="Times New Roman"/>
          <w:sz w:val="21"/>
          <w:szCs w:val="21"/>
          <w:color w:val="auto"/>
        </w:rPr>
        <w:t>Information on the Company’s two operating segments, the FSG and the ETG, for the six months ended April 30, 2026 and 2025, respectively, is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6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227"/>
        </w:trPr>
        <w:tc>
          <w:tcPr>
            <w:tcW w:w="3780" w:type="dxa"/>
            <w:vAlign w:val="bottom"/>
          </w:tcPr>
          <w:p>
            <w:pPr>
              <w:spacing w:after="0"/>
              <w:rPr>
                <w:sz w:val="19"/>
                <w:szCs w:val="19"/>
                <w:color w:val="auto"/>
              </w:rPr>
            </w:pPr>
          </w:p>
        </w:tc>
        <w:tc>
          <w:tcPr>
            <w:tcW w:w="16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FSG</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ETG</w:t>
            </w:r>
          </w:p>
        </w:tc>
        <w:tc>
          <w:tcPr>
            <w:tcW w:w="1520" w:type="dxa"/>
            <w:vAlign w:val="bottom"/>
            <w:gridSpan w:val="2"/>
          </w:tcPr>
          <w:p>
            <w:pPr>
              <w:ind w:left="260"/>
              <w:spacing w:after="0" w:line="226" w:lineRule="exact"/>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22"/>
                <w:szCs w:val="22"/>
                <w:b w:val="1"/>
                <w:bCs w:val="1"/>
                <w:color w:val="auto"/>
                <w:vertAlign w:val="superscript"/>
              </w:rPr>
              <w:t>(1)</w:t>
            </w:r>
          </w:p>
        </w:tc>
        <w:tc>
          <w:tcPr>
            <w:tcW w:w="1860" w:type="dxa"/>
            <w:vAlign w:val="bottom"/>
            <w:gridSpan w:val="2"/>
          </w:tcPr>
          <w:p>
            <w:pPr>
              <w:ind w:left="300"/>
              <w:spacing w:after="0" w:line="226" w:lineRule="exact"/>
              <w:rPr>
                <w:sz w:val="20"/>
                <w:szCs w:val="20"/>
                <w:color w:val="auto"/>
              </w:rPr>
            </w:pPr>
            <w:r>
              <w:rPr>
                <w:rFonts w:ascii="Times New Roman" w:cs="Times New Roman" w:eastAsia="Times New Roman" w:hAnsi="Times New Roman"/>
                <w:sz w:val="17"/>
                <w:szCs w:val="17"/>
                <w:b w:val="1"/>
                <w:bCs w:val="1"/>
                <w:color w:val="auto"/>
              </w:rPr>
              <w:t xml:space="preserve">Intersegment </w:t>
            </w:r>
            <w:r>
              <w:rPr>
                <w:rFonts w:ascii="Times New Roman" w:cs="Times New Roman" w:eastAsia="Times New Roman" w:hAnsi="Times New Roman"/>
                <w:sz w:val="22"/>
                <w:szCs w:val="22"/>
                <w:b w:val="1"/>
                <w:bCs w:val="1"/>
                <w:color w:val="auto"/>
                <w:vertAlign w:val="superscript"/>
              </w:rPr>
              <w:t>(2)</w:t>
            </w:r>
          </w:p>
        </w:tc>
        <w:tc>
          <w:tcPr>
            <w:tcW w:w="148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Totals</w:t>
            </w:r>
          </w:p>
        </w:tc>
      </w:tr>
      <w:tr>
        <w:trPr>
          <w:trHeight w:val="20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April 30, 2026:</w:t>
            </w: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1"/>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$1,748,184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$806,111</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spacing w:after="0"/>
              <w:rPr>
                <w:sz w:val="19"/>
                <w:szCs w:val="19"/>
                <w:color w:val="auto"/>
              </w:rPr>
            </w:pPr>
          </w:p>
        </w:tc>
      </w:tr>
      <w:tr>
        <w:trPr>
          <w:trHeight w:val="22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Intersegment net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4"/>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1,749,427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830,207</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(25,339)</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$2,554,295</w:t>
            </w:r>
          </w:p>
        </w:tc>
      </w:tr>
      <w:tr>
        <w:trPr>
          <w:trHeight w:val="22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480,722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1"/>
        </w:trPr>
        <w:tc>
          <w:tcPr>
            <w:tcW w:w="378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154,430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spacing w:after="0"/>
              <w:rPr>
                <w:sz w:val="19"/>
                <w:szCs w:val="19"/>
                <w:color w:val="auto"/>
              </w:rPr>
            </w:pPr>
          </w:p>
        </w:tc>
      </w:tr>
      <w:tr>
        <w:trPr>
          <w:trHeight w:val="22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(28,382)</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610,336</w:t>
            </w:r>
          </w:p>
        </w:tc>
      </w:tr>
      <w:tr>
        <w:trPr>
          <w:trHeight w:val="221"/>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31,546</w:t>
            </w:r>
          </w:p>
        </w:tc>
      </w:tr>
      <w:tr>
        <w:trPr>
          <w:trHeight w:val="221"/>
        </w:trPr>
        <w:tc>
          <w:tcPr>
            <w:tcW w:w="378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Depreciation </w:t>
            </w:r>
            <w:r>
              <w:rPr>
                <w:rFonts w:ascii="Times New Roman" w:cs="Times New Roman" w:eastAsia="Times New Roman" w:hAnsi="Times New Roman"/>
                <w:sz w:val="22"/>
                <w:szCs w:val="22"/>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29,014</w:t>
            </w:r>
          </w:p>
        </w:tc>
      </w:tr>
      <w:tr>
        <w:trPr>
          <w:trHeight w:val="221"/>
        </w:trPr>
        <w:tc>
          <w:tcPr>
            <w:tcW w:w="378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Amortization </w:t>
            </w:r>
            <w:r>
              <w:rPr>
                <w:rFonts w:ascii="Times New Roman" w:cs="Times New Roman" w:eastAsia="Times New Roman" w:hAnsi="Times New Roman"/>
                <w:sz w:val="22"/>
                <w:szCs w:val="22"/>
                <w:color w:val="auto"/>
                <w:vertAlign w:val="superscript"/>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78,628</w:t>
            </w:r>
          </w:p>
        </w:tc>
      </w:tr>
      <w:tr>
        <w:trPr>
          <w:trHeight w:val="260"/>
        </w:trPr>
        <w:tc>
          <w:tcPr>
            <w:tcW w:w="37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 April 30, 2025:</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$648,612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spacing w:after="0"/>
              <w:rPr>
                <w:sz w:val="19"/>
                <w:szCs w:val="19"/>
                <w:color w:val="auto"/>
              </w:rPr>
            </w:pPr>
          </w:p>
        </w:tc>
      </w:tr>
      <w:tr>
        <w:trPr>
          <w:trHeight w:val="221"/>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Intersegment net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(24,684)</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4"/>
        </w:trPr>
        <w:tc>
          <w:tcPr>
            <w:tcW w:w="3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1,480,244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672,482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(24,684)</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$2,128,042</w:t>
            </w:r>
          </w:p>
        </w:tc>
      </w:tr>
      <w:tr>
        <w:trPr>
          <w:trHeight w:val="221"/>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917,850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389,667</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(22,941)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1"/>
        </w:trPr>
        <w:tc>
          <w:tcPr>
            <w:tcW w:w="378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128,479</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spacing w:after="0"/>
              <w:rPr>
                <w:sz w:val="19"/>
                <w:szCs w:val="19"/>
                <w:color w:val="auto"/>
              </w:rPr>
            </w:pPr>
          </w:p>
        </w:tc>
      </w:tr>
      <w:tr>
        <w:trPr>
          <w:trHeight w:val="221"/>
        </w:trPr>
        <w:tc>
          <w:tcPr>
            <w:tcW w:w="3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154,336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(28,732)</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474,957</w:t>
            </w:r>
          </w:p>
        </w:tc>
      </w:tr>
      <w:tr>
        <w:trPr>
          <w:trHeight w:val="22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33,299</w:t>
            </w:r>
          </w:p>
        </w:tc>
      </w:tr>
      <w:tr>
        <w:trPr>
          <w:trHeight w:val="221"/>
        </w:trPr>
        <w:tc>
          <w:tcPr>
            <w:tcW w:w="378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Depreciation </w:t>
            </w:r>
            <w:r>
              <w:rPr>
                <w:rFonts w:ascii="Times New Roman" w:cs="Times New Roman" w:eastAsia="Times New Roman" w:hAnsi="Times New Roman"/>
                <w:sz w:val="22"/>
                <w:szCs w:val="22"/>
                <w:color w:val="auto"/>
                <w:vertAlign w:val="superscript"/>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26,216</w:t>
            </w:r>
          </w:p>
        </w:tc>
      </w:tr>
      <w:tr>
        <w:trPr>
          <w:trHeight w:val="221"/>
        </w:trPr>
        <w:tc>
          <w:tcPr>
            <w:tcW w:w="378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Amortization </w:t>
            </w:r>
            <w:r>
              <w:rPr>
                <w:rFonts w:ascii="Times New Roman" w:cs="Times New Roman" w:eastAsia="Times New Roman" w:hAnsi="Times New Roman"/>
                <w:sz w:val="22"/>
                <w:szCs w:val="22"/>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229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335" w:lineRule="exact"/>
        <w:rPr>
          <w:sz w:val="20"/>
          <w:szCs w:val="20"/>
          <w:color w:val="auto"/>
        </w:rPr>
      </w:pPr>
    </w:p>
    <w:p>
      <w:pPr>
        <w:ind w:left="200" w:hanging="196"/>
        <w:spacing w:after="0"/>
        <w:tabs>
          <w:tab w:leader="none" w:pos="20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Corporate activity consists of unallocated corporate general and administrative expenses.</w:t>
      </w:r>
    </w:p>
    <w:p>
      <w:pPr>
        <w:spacing w:after="0" w:line="58"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Intersegment activity principally consists of net sales from the ETG to the FSG.</w:t>
      </w:r>
    </w:p>
    <w:p>
      <w:pPr>
        <w:spacing w:after="0" w:line="46"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SG&amp;A expenses.</w:t>
      </w:r>
    </w:p>
    <w:p>
      <w:pPr>
        <w:spacing w:after="0" w:line="59"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Depreciation and amortization expense disclosed by reportable segment are included within cost of sales and other segment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623"/>
        <w:spacing w:after="0" w:line="274" w:lineRule="auto"/>
        <w:rPr>
          <w:sz w:val="20"/>
          <w:szCs w:val="20"/>
          <w:color w:val="auto"/>
        </w:rPr>
      </w:pPr>
      <w:r>
        <w:rPr>
          <w:rFonts w:ascii="Times New Roman" w:cs="Times New Roman" w:eastAsia="Times New Roman" w:hAnsi="Times New Roman"/>
          <w:sz w:val="21"/>
          <w:szCs w:val="21"/>
          <w:color w:val="auto"/>
        </w:rPr>
        <w:t>Information on the Company’s two operating segments, the FSG and the ETG, for the three months ended April 30, 2026 and 2025, respectively, is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5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227"/>
        </w:trPr>
        <w:tc>
          <w:tcPr>
            <w:tcW w:w="3940" w:type="dxa"/>
            <w:vAlign w:val="bottom"/>
          </w:tcPr>
          <w:p>
            <w:pPr>
              <w:spacing w:after="0"/>
              <w:rPr>
                <w:sz w:val="19"/>
                <w:szCs w:val="19"/>
                <w:color w:val="auto"/>
              </w:rPr>
            </w:pPr>
          </w:p>
        </w:tc>
        <w:tc>
          <w:tcPr>
            <w:tcW w:w="154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FSG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ETG</w:t>
            </w:r>
          </w:p>
        </w:tc>
        <w:tc>
          <w:tcPr>
            <w:tcW w:w="1520" w:type="dxa"/>
            <w:vAlign w:val="bottom"/>
            <w:gridSpan w:val="2"/>
          </w:tcPr>
          <w:p>
            <w:pPr>
              <w:ind w:left="260"/>
              <w:spacing w:after="0" w:line="226" w:lineRule="exact"/>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22"/>
                <w:szCs w:val="22"/>
                <w:b w:val="1"/>
                <w:bCs w:val="1"/>
                <w:color w:val="auto"/>
                <w:vertAlign w:val="superscript"/>
              </w:rPr>
              <w:t>(1)</w:t>
            </w:r>
          </w:p>
        </w:tc>
        <w:tc>
          <w:tcPr>
            <w:tcW w:w="1860" w:type="dxa"/>
            <w:vAlign w:val="bottom"/>
            <w:gridSpan w:val="2"/>
          </w:tcPr>
          <w:p>
            <w:pPr>
              <w:ind w:left="300"/>
              <w:spacing w:after="0" w:line="226" w:lineRule="exact"/>
              <w:rPr>
                <w:sz w:val="20"/>
                <w:szCs w:val="20"/>
                <w:color w:val="auto"/>
              </w:rPr>
            </w:pPr>
            <w:r>
              <w:rPr>
                <w:rFonts w:ascii="Times New Roman" w:cs="Times New Roman" w:eastAsia="Times New Roman" w:hAnsi="Times New Roman"/>
                <w:sz w:val="17"/>
                <w:szCs w:val="17"/>
                <w:b w:val="1"/>
                <w:bCs w:val="1"/>
                <w:color w:val="auto"/>
              </w:rPr>
              <w:t xml:space="preserve">Intersegment </w:t>
            </w:r>
            <w:r>
              <w:rPr>
                <w:rFonts w:ascii="Times New Roman" w:cs="Times New Roman" w:eastAsia="Times New Roman" w:hAnsi="Times New Roman"/>
                <w:sz w:val="22"/>
                <w:szCs w:val="22"/>
                <w:b w:val="1"/>
                <w:bCs w:val="1"/>
                <w:color w:val="auto"/>
                <w:vertAlign w:val="superscript"/>
              </w:rPr>
              <w:t>(2)</w:t>
            </w:r>
          </w:p>
        </w:tc>
        <w:tc>
          <w:tcPr>
            <w:tcW w:w="148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Totals</w:t>
            </w:r>
          </w:p>
        </w:tc>
      </w:tr>
      <w:tr>
        <w:trPr>
          <w:trHeight w:val="20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April 30, 2026:</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1"/>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$446,834</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spacing w:after="0"/>
              <w:rPr>
                <w:sz w:val="19"/>
                <w:szCs w:val="19"/>
                <w:color w:val="auto"/>
              </w:rPr>
            </w:pPr>
          </w:p>
        </w:tc>
      </w:tr>
      <w:tr>
        <w:trPr>
          <w:trHeight w:val="22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Intersegment net sales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4"/>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929,427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459,532</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(13,246)</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$1,375,713</w:t>
            </w:r>
          </w:p>
        </w:tc>
      </w:tr>
      <w:tr>
        <w:trPr>
          <w:trHeight w:val="22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256,048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1"/>
        </w:trPr>
        <w:tc>
          <w:tcPr>
            <w:tcW w:w="394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81,675</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spacing w:after="0"/>
              <w:rPr>
                <w:sz w:val="19"/>
                <w:szCs w:val="19"/>
                <w:color w:val="auto"/>
              </w:rPr>
            </w:pPr>
          </w:p>
        </w:tc>
      </w:tr>
      <w:tr>
        <w:trPr>
          <w:trHeight w:val="22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(15,223)</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350,437</w:t>
            </w:r>
          </w:p>
        </w:tc>
      </w:tr>
      <w:tr>
        <w:trPr>
          <w:trHeight w:val="221"/>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18,050</w:t>
            </w:r>
          </w:p>
        </w:tc>
      </w:tr>
      <w:tr>
        <w:trPr>
          <w:trHeight w:val="221"/>
        </w:trPr>
        <w:tc>
          <w:tcPr>
            <w:tcW w:w="394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Depreciation </w:t>
            </w:r>
            <w:r>
              <w:rPr>
                <w:rFonts w:ascii="Times New Roman" w:cs="Times New Roman" w:eastAsia="Times New Roman" w:hAnsi="Times New Roman"/>
                <w:sz w:val="22"/>
                <w:szCs w:val="22"/>
                <w:color w:val="auto"/>
                <w:vertAlign w:val="superscript"/>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w:t>
            </w:r>
          </w:p>
        </w:tc>
      </w:tr>
      <w:tr>
        <w:trPr>
          <w:trHeight w:val="221"/>
        </w:trPr>
        <w:tc>
          <w:tcPr>
            <w:tcW w:w="394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Amortization </w:t>
            </w:r>
            <w:r>
              <w:rPr>
                <w:rFonts w:ascii="Times New Roman" w:cs="Times New Roman" w:eastAsia="Times New Roman" w:hAnsi="Times New Roman"/>
                <w:sz w:val="22"/>
                <w:szCs w:val="22"/>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41,781</w:t>
            </w:r>
          </w:p>
        </w:tc>
      </w:tr>
      <w:tr>
        <w:trPr>
          <w:trHeight w:val="260"/>
        </w:trPr>
        <w:tc>
          <w:tcPr>
            <w:tcW w:w="39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April 30, 2025:</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$331,178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spacing w:after="0"/>
              <w:rPr>
                <w:sz w:val="19"/>
                <w:szCs w:val="19"/>
                <w:color w:val="auto"/>
              </w:rPr>
            </w:pPr>
          </w:p>
        </w:tc>
      </w:tr>
      <w:tr>
        <w:trPr>
          <w:trHeight w:val="221"/>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Intersegment net sales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10,989</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(11,417)</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4"/>
        </w:trPr>
        <w:tc>
          <w:tcPr>
            <w:tcW w:w="3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767,070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342,167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(11,417)</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$1,097,820</w:t>
            </w:r>
          </w:p>
        </w:tc>
      </w:tr>
      <w:tr>
        <w:trPr>
          <w:trHeight w:val="221"/>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199,966</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1"/>
        </w:trPr>
        <w:tc>
          <w:tcPr>
            <w:tcW w:w="394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64,321</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spacing w:after="0"/>
              <w:rPr>
                <w:sz w:val="19"/>
                <w:szCs w:val="19"/>
                <w:color w:val="auto"/>
              </w:rPr>
            </w:pPr>
          </w:p>
        </w:tc>
      </w:tr>
      <w:tr>
        <w:trPr>
          <w:trHeight w:val="221"/>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248,152</w:t>
            </w:r>
          </w:p>
        </w:tc>
      </w:tr>
      <w:tr>
        <w:trPr>
          <w:trHeight w:val="22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15,964</w:t>
            </w:r>
          </w:p>
        </w:tc>
      </w:tr>
      <w:tr>
        <w:trPr>
          <w:trHeight w:val="221"/>
        </w:trPr>
        <w:tc>
          <w:tcPr>
            <w:tcW w:w="394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Depreciation </w:t>
            </w:r>
            <w:r>
              <w:rPr>
                <w:rFonts w:ascii="Times New Roman" w:cs="Times New Roman" w:eastAsia="Times New Roman" w:hAnsi="Times New Roman"/>
                <w:sz w:val="22"/>
                <w:szCs w:val="22"/>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13,168</w:t>
            </w:r>
          </w:p>
        </w:tc>
      </w:tr>
      <w:tr>
        <w:trPr>
          <w:trHeight w:val="221"/>
        </w:trPr>
        <w:tc>
          <w:tcPr>
            <w:tcW w:w="394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 xml:space="preserve">Amortization </w:t>
            </w:r>
            <w:r>
              <w:rPr>
                <w:rFonts w:ascii="Times New Roman" w:cs="Times New Roman" w:eastAsia="Times New Roman" w:hAnsi="Times New Roman"/>
                <w:sz w:val="22"/>
                <w:szCs w:val="22"/>
                <w:color w:val="auto"/>
                <w:vertAlign w:val="superscript"/>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23983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283" w:lineRule="exact"/>
        <w:rPr>
          <w:sz w:val="20"/>
          <w:szCs w:val="20"/>
          <w:color w:val="auto"/>
        </w:rPr>
      </w:pPr>
    </w:p>
    <w:p>
      <w:pPr>
        <w:ind w:left="200" w:hanging="196"/>
        <w:spacing w:after="0"/>
        <w:tabs>
          <w:tab w:leader="none" w:pos="20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Corporate activity consists of unallocated corporate general and administrative expenses.</w:t>
      </w:r>
    </w:p>
    <w:p>
      <w:pPr>
        <w:spacing w:after="0" w:line="58"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Intersegment activity principally consists of net sales from the ETG to the FSG.</w:t>
      </w:r>
    </w:p>
    <w:p>
      <w:pPr>
        <w:spacing w:after="0" w:line="46"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SG&amp;A expenses.</w:t>
      </w:r>
    </w:p>
    <w:p>
      <w:pPr>
        <w:spacing w:after="0" w:line="59" w:lineRule="exact"/>
        <w:rPr>
          <w:rFonts w:ascii="Times New Roman" w:cs="Times New Roman" w:eastAsia="Times New Roman" w:hAnsi="Times New Roman"/>
          <w:sz w:val="25"/>
          <w:szCs w:val="25"/>
          <w:color w:val="auto"/>
          <w:vertAlign w:val="superscript"/>
        </w:rPr>
      </w:pPr>
    </w:p>
    <w:p>
      <w:pPr>
        <w:ind w:left="200" w:hanging="196"/>
        <w:spacing w:after="0" w:line="189" w:lineRule="auto"/>
        <w:tabs>
          <w:tab w:leader="none" w:pos="20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Depreciation and amortization expense disclosed by reportable segment are included within cost of sales and other segment items.</w:t>
      </w: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Total assets by operating segment are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40" w:type="dxa"/>
            <w:vAlign w:val="bottom"/>
          </w:tcPr>
          <w:p>
            <w:pPr>
              <w:spacing w:after="0"/>
              <w:rPr>
                <w:sz w:val="22"/>
                <w:szCs w:val="22"/>
                <w:color w:val="auto"/>
              </w:rPr>
            </w:pPr>
          </w:p>
        </w:tc>
        <w:tc>
          <w:tcPr>
            <w:tcW w:w="21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9"/>
                <w:szCs w:val="19"/>
                <w:b w:val="1"/>
                <w:bCs w:val="1"/>
                <w:color w:val="auto"/>
              </w:rPr>
              <w:t>Segment</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9"/>
                <w:szCs w:val="19"/>
                <w:b w:val="1"/>
                <w:bCs w:val="1"/>
                <w:color w:val="auto"/>
              </w:rPr>
              <w:t>Other,</w:t>
            </w:r>
          </w:p>
        </w:tc>
        <w:tc>
          <w:tcPr>
            <w:tcW w:w="1780" w:type="dxa"/>
            <w:vAlign w:val="bottom"/>
          </w:tcPr>
          <w:p>
            <w:pPr>
              <w:jc w:val="right"/>
              <w:ind w:right="285"/>
              <w:spacing w:after="0"/>
              <w:rPr>
                <w:sz w:val="20"/>
                <w:szCs w:val="20"/>
                <w:color w:val="auto"/>
              </w:rPr>
            </w:pPr>
            <w:r>
              <w:rPr>
                <w:rFonts w:ascii="Times New Roman" w:cs="Times New Roman" w:eastAsia="Times New Roman" w:hAnsi="Times New Roman"/>
                <w:sz w:val="19"/>
                <w:szCs w:val="19"/>
                <w:b w:val="1"/>
                <w:bCs w:val="1"/>
                <w:color w:val="auto"/>
              </w:rPr>
              <w:t>Consolidated</w:t>
            </w:r>
          </w:p>
        </w:tc>
      </w:tr>
      <w:tr>
        <w:trPr>
          <w:trHeight w:val="240"/>
        </w:trPr>
        <w:tc>
          <w:tcPr>
            <w:tcW w:w="4240" w:type="dxa"/>
            <w:vAlign w:val="bottom"/>
          </w:tcPr>
          <w:p>
            <w:pPr>
              <w:spacing w:after="0"/>
              <w:rPr>
                <w:sz w:val="20"/>
                <w:szCs w:val="20"/>
                <w:color w:val="auto"/>
              </w:rPr>
            </w:pPr>
          </w:p>
        </w:tc>
        <w:tc>
          <w:tcPr>
            <w:tcW w:w="2120" w:type="dxa"/>
            <w:vAlign w:val="bottom"/>
            <w:gridSpan w:val="3"/>
          </w:tcPr>
          <w:p>
            <w:pPr>
              <w:ind w:left="600"/>
              <w:spacing w:after="0"/>
              <w:rPr>
                <w:sz w:val="20"/>
                <w:szCs w:val="20"/>
                <w:color w:val="auto"/>
              </w:rPr>
            </w:pPr>
            <w:r>
              <w:rPr>
                <w:rFonts w:ascii="Times New Roman" w:cs="Times New Roman" w:eastAsia="Times New Roman" w:hAnsi="Times New Roman"/>
                <w:sz w:val="19"/>
                <w:szCs w:val="19"/>
                <w:b w:val="1"/>
                <w:bCs w:val="1"/>
                <w:color w:val="auto"/>
              </w:rPr>
              <w:t>FSG</w:t>
            </w:r>
          </w:p>
        </w:tc>
        <w:tc>
          <w:tcPr>
            <w:tcW w:w="1140" w:type="dxa"/>
            <w:vAlign w:val="bottom"/>
          </w:tcPr>
          <w:p>
            <w:pPr>
              <w:jc w:val="right"/>
              <w:ind w:right="505"/>
              <w:spacing w:after="0"/>
              <w:rPr>
                <w:sz w:val="20"/>
                <w:szCs w:val="20"/>
                <w:color w:val="auto"/>
              </w:rPr>
            </w:pPr>
            <w:r>
              <w:rPr>
                <w:rFonts w:ascii="Times New Roman" w:cs="Times New Roman" w:eastAsia="Times New Roman" w:hAnsi="Times New Roman"/>
                <w:sz w:val="19"/>
                <w:szCs w:val="19"/>
                <w:b w:val="1"/>
                <w:bCs w:val="1"/>
                <w:color w:val="auto"/>
              </w:rPr>
              <w:t>ETG</w:t>
            </w:r>
          </w:p>
        </w:tc>
        <w:tc>
          <w:tcPr>
            <w:tcW w:w="10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Primarily Corporate</w:t>
            </w:r>
          </w:p>
        </w:tc>
        <w:tc>
          <w:tcPr>
            <w:tcW w:w="1780" w:type="dxa"/>
            <w:vAlign w:val="bottom"/>
          </w:tcPr>
          <w:p>
            <w:pPr>
              <w:jc w:val="right"/>
              <w:ind w:right="545"/>
              <w:spacing w:after="0"/>
              <w:rPr>
                <w:sz w:val="20"/>
                <w:szCs w:val="20"/>
                <w:color w:val="auto"/>
              </w:rPr>
            </w:pPr>
            <w:r>
              <w:rPr>
                <w:rFonts w:ascii="Times New Roman" w:cs="Times New Roman" w:eastAsia="Times New Roman" w:hAnsi="Times New Roman"/>
                <w:sz w:val="19"/>
                <w:szCs w:val="19"/>
                <w:b w:val="1"/>
                <w:bCs w:val="1"/>
                <w:color w:val="auto"/>
              </w:rPr>
              <w:t>Totals</w:t>
            </w:r>
          </w:p>
        </w:tc>
      </w:tr>
      <w:tr>
        <w:trPr>
          <w:trHeight w:val="240"/>
        </w:trPr>
        <w:tc>
          <w:tcPr>
            <w:tcW w:w="4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assets as of April 30, 2026</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$5,117,985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$3,998,714</w:t>
            </w:r>
          </w:p>
        </w:tc>
        <w:tc>
          <w:tcPr>
            <w:tcW w:w="10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$475,514</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$9,592,213</w:t>
            </w:r>
          </w:p>
        </w:tc>
      </w:tr>
      <w:tr>
        <w:trPr>
          <w:trHeight w:val="24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assets as of October 31,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4,571,887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3,437,221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491,326</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8,500,434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hanging="516"/>
        <w:spacing w:after="0"/>
        <w:tabs>
          <w:tab w:leader="none" w:pos="52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Guarantees</w:t>
      </w:r>
    </w:p>
    <w:p>
      <w:pPr>
        <w:spacing w:after="0" w:line="165" w:lineRule="exact"/>
        <w:rPr>
          <w:sz w:val="20"/>
          <w:szCs w:val="20"/>
          <w:color w:val="auto"/>
        </w:rPr>
      </w:pPr>
    </w:p>
    <w:p>
      <w:pPr>
        <w:ind w:right="120" w:firstLine="623"/>
        <w:spacing w:after="0" w:line="259" w:lineRule="auto"/>
        <w:rPr>
          <w:sz w:val="20"/>
          <w:szCs w:val="20"/>
          <w:color w:val="auto"/>
        </w:rPr>
      </w:pPr>
      <w:r>
        <w:rPr>
          <w:rFonts w:ascii="Times New Roman" w:cs="Times New Roman" w:eastAsia="Times New Roman" w:hAnsi="Times New Roman"/>
          <w:sz w:val="21"/>
          <w:szCs w:val="21"/>
          <w:color w:val="auto"/>
        </w:rPr>
        <w:t>As of April 30, 2026, the Company had outstanding standby letters of credit and guarantees with financial institutions aggregating $15.3 million. These guarantees and standby letters of credit pertain to performance guarantees issued in connection with customer contracts entered into by certain of the Company's subsidiaries, and a payment guarantee related to potential workers' compensation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Product Warranty</w:t>
      </w:r>
    </w:p>
    <w:p>
      <w:pPr>
        <w:spacing w:after="0" w:line="243" w:lineRule="exact"/>
        <w:rPr>
          <w:sz w:val="20"/>
          <w:szCs w:val="20"/>
          <w:color w:val="auto"/>
        </w:rPr>
      </w:pPr>
    </w:p>
    <w:p>
      <w:pPr>
        <w:ind w:right="320" w:firstLine="623"/>
        <w:spacing w:after="0" w:line="265" w:lineRule="auto"/>
        <w:rPr>
          <w:sz w:val="20"/>
          <w:szCs w:val="20"/>
          <w:color w:val="auto"/>
        </w:rPr>
      </w:pPr>
      <w:r>
        <w:rPr>
          <w:rFonts w:ascii="Times New Roman" w:cs="Times New Roman" w:eastAsia="Times New Roman" w:hAnsi="Times New Roman"/>
          <w:sz w:val="21"/>
          <w:szCs w:val="21"/>
          <w:color w:val="auto"/>
        </w:rPr>
        <w:t>Changes in the Company’s product warranty liability for the six months ended April 30, 2026 and 2025, respectively, are as follows (in thousands):</w:t>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2026</w:t>
            </w:r>
          </w:p>
        </w:tc>
        <w:tc>
          <w:tcPr>
            <w:tcW w:w="7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21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4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beginning of fiscal year</w:t>
            </w:r>
          </w:p>
        </w:tc>
        <w:tc>
          <w:tcPr>
            <w:tcW w:w="1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$5,768</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$4,036</w:t>
            </w:r>
          </w:p>
        </w:tc>
      </w:tr>
      <w:tr>
        <w:trPr>
          <w:trHeight w:val="247"/>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Acquired warranty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4,939</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431</w:t>
            </w:r>
          </w:p>
        </w:tc>
      </w:tr>
      <w:tr>
        <w:trPr>
          <w:trHeight w:val="247"/>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Accruals for warranties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4,693</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1,261</w:t>
            </w:r>
          </w:p>
        </w:tc>
      </w:tr>
      <w:tr>
        <w:trPr>
          <w:trHeight w:val="247"/>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Warranty claims settled</w:t>
            </w:r>
          </w:p>
        </w:tc>
        <w:tc>
          <w:tcPr>
            <w:tcW w:w="1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(2,238)</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(1,402)</w:t>
            </w:r>
          </w:p>
        </w:tc>
      </w:tr>
      <w:tr>
        <w:trPr>
          <w:trHeight w:val="26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Balances as of April 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$13,162</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$4,326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Litigation</w:t>
      </w:r>
    </w:p>
    <w:p>
      <w:pPr>
        <w:spacing w:after="0" w:line="243"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21"/>
          <w:szCs w:val="21"/>
          <w:color w:val="auto"/>
        </w:rPr>
        <w:t>The Company is involved in various legal actions arising in the normal course of business. Based upon the Company’s and its legal counsel’s evaluations of any claims or assessments, management is of the opinion that the outcome of these matters will not have a material adverse effect on the Company’s results of operations, financial position or cash flows.</w:t>
      </w:r>
    </w:p>
    <w:p>
      <w:pPr>
        <w:spacing w:after="0" w:line="200" w:lineRule="exact"/>
        <w:rPr>
          <w:sz w:val="20"/>
          <w:szCs w:val="20"/>
          <w:color w:val="auto"/>
        </w:rPr>
      </w:pPr>
    </w:p>
    <w:p>
      <w:pPr>
        <w:spacing w:after="0" w:line="221" w:lineRule="exact"/>
        <w:rPr>
          <w:sz w:val="20"/>
          <w:szCs w:val="20"/>
          <w:color w:val="auto"/>
        </w:rPr>
      </w:pPr>
    </w:p>
    <w:p>
      <w:pPr>
        <w:ind w:left="520" w:hanging="516"/>
        <w:spacing w:after="0"/>
        <w:tabs>
          <w:tab w:leader="none" w:pos="52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SUBSEQUENT EVENT</w:t>
      </w:r>
    </w:p>
    <w:p>
      <w:pPr>
        <w:spacing w:after="0" w:line="256" w:lineRule="exact"/>
        <w:rPr>
          <w:sz w:val="20"/>
          <w:szCs w:val="20"/>
          <w:color w:val="auto"/>
        </w:rPr>
      </w:pPr>
    </w:p>
    <w:p>
      <w:pPr>
        <w:ind w:right="20" w:firstLine="623"/>
        <w:spacing w:after="0" w:line="253" w:lineRule="auto"/>
        <w:rPr>
          <w:sz w:val="20"/>
          <w:szCs w:val="20"/>
          <w:color w:val="auto"/>
        </w:rPr>
      </w:pPr>
      <w:r>
        <w:rPr>
          <w:rFonts w:ascii="Times New Roman" w:cs="Times New Roman" w:eastAsia="Times New Roman" w:hAnsi="Times New Roman"/>
          <w:sz w:val="21"/>
          <w:szCs w:val="21"/>
          <w:color w:val="auto"/>
        </w:rPr>
        <w:t>The Company, through a subsidiary of HFSC, entered into an agreement to acquire 80% of the stock of a company that designs and manufactures track systems, mobility solutions, and armored steel components for military fighting vehicles. Closing is subject to standard closing conditions and is expected to occur in the third quarter of fiscal 2026. The remaining 20% interest will continue to be owned by certain members of the seller's management team. The purchase price of this acquisition is expected to be paid with cash using proceeds from the Company's revolving credit facility and is not material or significant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right="1060" w:hanging="700"/>
        <w:spacing w:after="0" w:line="278" w:lineRule="auto"/>
        <w:tabs>
          <w:tab w:leader="none" w:pos="680" w:val="left"/>
        </w:tabs>
        <w:rPr>
          <w:sz w:val="20"/>
          <w:szCs w:val="20"/>
          <w:color w:val="auto"/>
        </w:rPr>
      </w:pPr>
      <w:r>
        <w:rPr>
          <w:rFonts w:ascii="Times New Roman" w:cs="Times New Roman" w:eastAsia="Times New Roman" w:hAnsi="Times New Roman"/>
          <w:sz w:val="21"/>
          <w:szCs w:val="21"/>
          <w:b w:val="1"/>
          <w:bCs w:val="1"/>
          <w:color w:val="auto"/>
        </w:rPr>
        <w:t>Item 2.</w:t>
        <w:tab/>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256" w:lineRule="exact"/>
        <w:rPr>
          <w:sz w:val="20"/>
          <w:szCs w:val="20"/>
          <w:color w:val="auto"/>
        </w:rPr>
      </w:pPr>
    </w:p>
    <w:p>
      <w:pPr>
        <w:ind w:firstLine="623"/>
        <w:spacing w:after="0" w:line="253" w:lineRule="auto"/>
        <w:rPr>
          <w:sz w:val="20"/>
          <w:szCs w:val="20"/>
          <w:color w:val="auto"/>
        </w:rPr>
      </w:pPr>
      <w:r>
        <w:rPr>
          <w:rFonts w:ascii="Times New Roman" w:cs="Times New Roman" w:eastAsia="Times New Roman" w:hAnsi="Times New Roman"/>
          <w:sz w:val="21"/>
          <w:szCs w:val="21"/>
          <w:color w:val="auto"/>
        </w:rPr>
        <w:t>This discussion of our financial condition and results of operations should be read in conjunction with our condensed consolidated financial statements and notes thereto included herein. 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materially from those estimates if different assumptions were used or different events ultimately transpire.</w:t>
      </w:r>
    </w:p>
    <w:p>
      <w:pPr>
        <w:spacing w:after="0" w:line="199" w:lineRule="exact"/>
        <w:rPr>
          <w:sz w:val="20"/>
          <w:szCs w:val="20"/>
          <w:color w:val="auto"/>
        </w:rPr>
      </w:pPr>
    </w:p>
    <w:p>
      <w:pPr>
        <w:ind w:right="60" w:firstLine="623"/>
        <w:spacing w:after="0" w:line="254" w:lineRule="auto"/>
        <w:rPr>
          <w:sz w:val="20"/>
          <w:szCs w:val="20"/>
          <w:color w:val="auto"/>
        </w:rPr>
      </w:pPr>
      <w:r>
        <w:rPr>
          <w:rFonts w:ascii="Times New Roman" w:cs="Times New Roman" w:eastAsia="Times New Roman" w:hAnsi="Times New Roman"/>
          <w:sz w:val="21"/>
          <w:szCs w:val="21"/>
          <w:color w:val="auto"/>
        </w:rPr>
        <w:t>Our critical accounting policies, which require management to make judgments about matters that are inherently uncertain, are described in Item 7, “Management’s Discussion and Analysis of Financial Condition and Results of Operations,” under the heading “Critical Accounting Estimates” in our Annual Report on Form 10-K for the year ended October 31, 2025. There have been no material changes to our critical accounting policies during the six months ended April 30, 2026.</w:t>
      </w:r>
    </w:p>
    <w:p>
      <w:pPr>
        <w:spacing w:after="0" w:line="198" w:lineRule="exact"/>
        <w:rPr>
          <w:sz w:val="20"/>
          <w:szCs w:val="20"/>
          <w:color w:val="auto"/>
        </w:rPr>
      </w:pPr>
    </w:p>
    <w:p>
      <w:pPr>
        <w:ind w:right="220" w:firstLine="623"/>
        <w:spacing w:after="0" w:line="266" w:lineRule="auto"/>
        <w:rPr>
          <w:sz w:val="20"/>
          <w:szCs w:val="20"/>
          <w:color w:val="auto"/>
        </w:rPr>
      </w:pPr>
      <w:r>
        <w:rPr>
          <w:rFonts w:ascii="Times New Roman" w:cs="Times New Roman" w:eastAsia="Times New Roman" w:hAnsi="Times New Roman"/>
          <w:sz w:val="21"/>
          <w:szCs w:val="21"/>
          <w:color w:val="auto"/>
        </w:rPr>
        <w:t>Our business is comprised of two operating segments: the Flight Support Group (“FSG”), consisting of HEICO Aerospace Holdings Corp. and HEICO Flight Support Corp. and their respective subsidiaries; and the Electronic Technologies Group (“ETG”), consisting of HEICO Electronic Technologies Corp. and its subsidiaries.</w:t>
      </w:r>
    </w:p>
    <w:p>
      <w:pPr>
        <w:spacing w:after="0" w:line="184" w:lineRule="exact"/>
        <w:rPr>
          <w:sz w:val="20"/>
          <w:szCs w:val="20"/>
          <w:color w:val="auto"/>
        </w:rPr>
      </w:pPr>
    </w:p>
    <w:p>
      <w:pPr>
        <w:ind w:right="100" w:firstLine="623"/>
        <w:spacing w:after="0" w:line="259" w:lineRule="auto"/>
        <w:rPr>
          <w:sz w:val="20"/>
          <w:szCs w:val="20"/>
          <w:color w:val="auto"/>
        </w:rPr>
      </w:pPr>
      <w:r>
        <w:rPr>
          <w:rFonts w:ascii="Times New Roman" w:cs="Times New Roman" w:eastAsia="Times New Roman" w:hAnsi="Times New Roman"/>
          <w:sz w:val="21"/>
          <w:szCs w:val="21"/>
          <w:color w:val="auto"/>
        </w:rPr>
        <w:t>Our results of operations for the six and three months ended April 30, 2026 have been affected by the fiscal 2025 acquisitions as further detailed in Note 2, Acquisitions, of the Notes to Consolidated Financial Statements of our Annual Report on Form 10-K for the year ended October 31, 2025 and the fiscal 2026 acquisitions as further detailed in Note 2, Acquisitions, of the Notes to the Condensed Consolidated Financial Statements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243" w:lineRule="exact"/>
        <w:rPr>
          <w:sz w:val="20"/>
          <w:szCs w:val="20"/>
          <w:color w:val="auto"/>
        </w:rPr>
      </w:pPr>
    </w:p>
    <w:p>
      <w:pPr>
        <w:ind w:right="380" w:firstLine="623"/>
        <w:spacing w:after="0" w:line="274" w:lineRule="auto"/>
        <w:rPr>
          <w:sz w:val="20"/>
          <w:szCs w:val="20"/>
          <w:color w:val="auto"/>
        </w:rPr>
      </w:pPr>
      <w:r>
        <w:rPr>
          <w:rFonts w:ascii="Times New Roman" w:cs="Times New Roman" w:eastAsia="Times New Roman" w:hAnsi="Times New Roman"/>
          <w:sz w:val="21"/>
          <w:szCs w:val="21"/>
          <w:color w:val="auto"/>
        </w:rPr>
        <w:t>The following table sets forth the results of our operations, net sales and operating income by segment and the percentage of net sales represented by the respective items in our Condensed Consolidated Statements of Operations (in thousands):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255"/>
        </w:trPr>
        <w:tc>
          <w:tcPr>
            <w:tcW w:w="3480" w:type="dxa"/>
            <w:vAlign w:val="bottom"/>
          </w:tcPr>
          <w:p>
            <w:pPr>
              <w:spacing w:after="0"/>
              <w:rPr>
                <w:sz w:val="22"/>
                <w:szCs w:val="22"/>
                <w:color w:val="auto"/>
              </w:rPr>
            </w:pPr>
          </w:p>
        </w:tc>
        <w:tc>
          <w:tcPr>
            <w:tcW w:w="3920" w:type="dxa"/>
            <w:vAlign w:val="bottom"/>
            <w:gridSpan w:val="4"/>
          </w:tcPr>
          <w:p>
            <w:pPr>
              <w:ind w:left="780"/>
              <w:spacing w:after="0"/>
              <w:rPr>
                <w:sz w:val="20"/>
                <w:szCs w:val="20"/>
                <w:color w:val="auto"/>
              </w:rPr>
            </w:pPr>
            <w:r>
              <w:rPr>
                <w:rFonts w:ascii="Times New Roman" w:cs="Times New Roman" w:eastAsia="Times New Roman" w:hAnsi="Times New Roman"/>
                <w:sz w:val="19"/>
                <w:szCs w:val="19"/>
                <w:b w:val="1"/>
                <w:bCs w:val="1"/>
                <w:color w:val="auto"/>
              </w:rPr>
              <w:t>Six months ended April 30,</w:t>
            </w:r>
          </w:p>
        </w:tc>
        <w:tc>
          <w:tcPr>
            <w:tcW w:w="3320" w:type="dxa"/>
            <w:vAlign w:val="bottom"/>
            <w:gridSpan w:val="3"/>
          </w:tcPr>
          <w:p>
            <w:pPr>
              <w:jc w:val="right"/>
              <w:ind w:right="125"/>
              <w:spacing w:after="0"/>
              <w:rPr>
                <w:sz w:val="20"/>
                <w:szCs w:val="20"/>
                <w:color w:val="auto"/>
              </w:rPr>
            </w:pPr>
            <w:r>
              <w:rPr>
                <w:rFonts w:ascii="Times New Roman" w:cs="Times New Roman" w:eastAsia="Times New Roman" w:hAnsi="Times New Roman"/>
                <w:sz w:val="19"/>
                <w:szCs w:val="19"/>
                <w:b w:val="1"/>
                <w:bCs w:val="1"/>
                <w:color w:val="auto"/>
              </w:rPr>
              <w:t>Three months ended April 30,</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2025</w:t>
            </w:r>
          </w:p>
        </w:tc>
        <w:tc>
          <w:tcPr>
            <w:tcW w:w="160" w:type="dxa"/>
            <w:vAlign w:val="bottom"/>
            <w:tcBorders>
              <w:bottom w:val="single" w:sz="8" w:color="CCEEFF"/>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4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$2,554,295</w:t>
            </w:r>
          </w:p>
        </w:tc>
        <w:tc>
          <w:tcPr>
            <w:tcW w:w="12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$2,128,042</w:t>
            </w:r>
          </w:p>
        </w:tc>
        <w:tc>
          <w:tcPr>
            <w:tcW w:w="16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$1,375,713</w:t>
            </w:r>
          </w:p>
        </w:tc>
        <w:tc>
          <w:tcPr>
            <w:tcW w:w="12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$1,097,8</w:t>
            </w:r>
          </w:p>
        </w:tc>
        <w:tc>
          <w:tcPr>
            <w:tcW w:w="0" w:type="dxa"/>
            <w:vAlign w:val="bottom"/>
          </w:tcPr>
          <w:p>
            <w:pPr>
              <w:spacing w:after="0"/>
              <w:rPr>
                <w:sz w:val="1"/>
                <w:szCs w:val="1"/>
                <w:color w:val="auto"/>
              </w:rPr>
            </w:pPr>
          </w:p>
        </w:tc>
      </w:tr>
      <w:tr>
        <w:trPr>
          <w:trHeight w:val="240"/>
        </w:trPr>
        <w:tc>
          <w:tcPr>
            <w:tcW w:w="3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Cost of sales</w:t>
            </w: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1,529,806</w:t>
            </w:r>
          </w:p>
        </w:tc>
        <w:tc>
          <w:tcPr>
            <w:tcW w:w="120" w:type="dxa"/>
            <w:vAlign w:val="bottom"/>
          </w:tcPr>
          <w:p>
            <w:pPr>
              <w:spacing w:after="0"/>
              <w:rPr>
                <w:sz w:val="20"/>
                <w:szCs w:val="20"/>
                <w:color w:val="auto"/>
              </w:rPr>
            </w:pP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1,284,576</w:t>
            </w:r>
          </w:p>
        </w:tc>
        <w:tc>
          <w:tcPr>
            <w:tcW w:w="160" w:type="dxa"/>
            <w:vAlign w:val="bottom"/>
          </w:tcPr>
          <w:p>
            <w:pPr>
              <w:spacing w:after="0"/>
              <w:rPr>
                <w:sz w:val="20"/>
                <w:szCs w:val="20"/>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806,188</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660,0</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 expenses</w:t>
            </w: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414,153</w:t>
            </w:r>
          </w:p>
        </w:tc>
        <w:tc>
          <w:tcPr>
            <w:tcW w:w="12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368,509</w:t>
            </w:r>
          </w:p>
        </w:tc>
        <w:tc>
          <w:tcPr>
            <w:tcW w:w="16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219,088</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189,6</w:t>
            </w:r>
          </w:p>
        </w:tc>
        <w:tc>
          <w:tcPr>
            <w:tcW w:w="0" w:type="dxa"/>
            <w:vAlign w:val="bottom"/>
          </w:tcPr>
          <w:p>
            <w:pPr>
              <w:spacing w:after="0"/>
              <w:rPr>
                <w:sz w:val="1"/>
                <w:szCs w:val="1"/>
                <w:color w:val="auto"/>
              </w:rPr>
            </w:pPr>
          </w:p>
        </w:tc>
      </w:tr>
      <w:tr>
        <w:trPr>
          <w:trHeight w:val="24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9"/>
                <w:szCs w:val="19"/>
                <w:color w:val="auto"/>
              </w:rPr>
              <w:t>Total operating costs and expenses</w:t>
            </w:r>
          </w:p>
        </w:tc>
        <w:tc>
          <w:tcPr>
            <w:tcW w:w="18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9"/>
                <w:szCs w:val="19"/>
                <w:color w:val="auto"/>
              </w:rPr>
              <w:t>1,943,959</w:t>
            </w:r>
          </w:p>
        </w:tc>
        <w:tc>
          <w:tcPr>
            <w:tcW w:w="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9"/>
                <w:szCs w:val="19"/>
                <w:color w:val="auto"/>
              </w:rPr>
              <w:t>1,653,085</w:t>
            </w:r>
          </w:p>
        </w:tc>
        <w:tc>
          <w:tcPr>
            <w:tcW w:w="16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9"/>
                <w:szCs w:val="19"/>
                <w:color w:val="auto"/>
              </w:rPr>
              <w:t>1,025,276</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849,6</w:t>
            </w:r>
          </w:p>
        </w:tc>
        <w:tc>
          <w:tcPr>
            <w:tcW w:w="0" w:type="dxa"/>
            <w:vAlign w:val="bottom"/>
          </w:tcPr>
          <w:p>
            <w:pPr>
              <w:spacing w:after="0"/>
              <w:rPr>
                <w:sz w:val="1"/>
                <w:szCs w:val="1"/>
                <w:color w:val="auto"/>
              </w:rPr>
            </w:pPr>
          </w:p>
        </w:tc>
      </w:tr>
      <w:tr>
        <w:trPr>
          <w:trHeight w:val="26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$610,336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$474,957</w:t>
            </w:r>
          </w:p>
        </w:tc>
        <w:tc>
          <w:tcPr>
            <w:tcW w:w="1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$350,437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$248,1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 by segment:</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Flight Support Group</w:t>
            </w: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$1,749,427</w:t>
            </w:r>
          </w:p>
        </w:tc>
        <w:tc>
          <w:tcPr>
            <w:tcW w:w="120" w:type="dxa"/>
            <w:vAlign w:val="bottom"/>
          </w:tcPr>
          <w:p>
            <w:pPr>
              <w:spacing w:after="0"/>
              <w:rPr>
                <w:sz w:val="21"/>
                <w:szCs w:val="21"/>
                <w:color w:val="auto"/>
              </w:rPr>
            </w:pP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$1,480,244</w:t>
            </w:r>
          </w:p>
        </w:tc>
        <w:tc>
          <w:tcPr>
            <w:tcW w:w="160" w:type="dxa"/>
            <w:vAlign w:val="bottom"/>
          </w:tcPr>
          <w:p>
            <w:pPr>
              <w:spacing w:after="0"/>
              <w:rPr>
                <w:sz w:val="21"/>
                <w:szCs w:val="21"/>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$929,427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$767,0</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830,207</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672,482</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459,532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342,1</w:t>
            </w:r>
          </w:p>
        </w:tc>
        <w:tc>
          <w:tcPr>
            <w:tcW w:w="0" w:type="dxa"/>
            <w:vAlign w:val="bottom"/>
          </w:tcPr>
          <w:p>
            <w:pPr>
              <w:spacing w:after="0"/>
              <w:rPr>
                <w:sz w:val="1"/>
                <w:szCs w:val="1"/>
                <w:color w:val="auto"/>
              </w:rPr>
            </w:pPr>
          </w:p>
        </w:tc>
      </w:tr>
      <w:tr>
        <w:trPr>
          <w:trHeight w:val="247"/>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Intersegment sales</w:t>
            </w: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(25,339)</w:t>
            </w:r>
          </w:p>
        </w:tc>
        <w:tc>
          <w:tcPr>
            <w:tcW w:w="1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(24,684)</w:t>
            </w:r>
          </w:p>
        </w:tc>
        <w:tc>
          <w:tcPr>
            <w:tcW w:w="16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(13,246)</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(11,41</w:t>
            </w:r>
          </w:p>
        </w:tc>
        <w:tc>
          <w:tcPr>
            <w:tcW w:w="0" w:type="dxa"/>
            <w:vAlign w:val="bottom"/>
          </w:tcPr>
          <w:p>
            <w:pPr>
              <w:spacing w:after="0"/>
              <w:rPr>
                <w:sz w:val="1"/>
                <w:szCs w:val="1"/>
                <w:color w:val="auto"/>
              </w:rPr>
            </w:pPr>
          </w:p>
        </w:tc>
      </w:tr>
      <w:tr>
        <w:trPr>
          <w:trHeight w:val="265"/>
        </w:trPr>
        <w:tc>
          <w:tcPr>
            <w:tcW w:w="34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$2,554,295</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$2,128,042</w:t>
            </w:r>
          </w:p>
        </w:tc>
        <w:tc>
          <w:tcPr>
            <w:tcW w:w="1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$1,375,713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 by segment:</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Flight Support Group</w:t>
            </w: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$443,797</w:t>
            </w:r>
          </w:p>
        </w:tc>
        <w:tc>
          <w:tcPr>
            <w:tcW w:w="120" w:type="dxa"/>
            <w:vAlign w:val="bottom"/>
          </w:tcPr>
          <w:p>
            <w:pPr>
              <w:spacing w:after="0"/>
              <w:rPr>
                <w:sz w:val="21"/>
                <w:szCs w:val="21"/>
                <w:color w:val="auto"/>
              </w:rPr>
            </w:pPr>
          </w:p>
        </w:tc>
        <w:tc>
          <w:tcPr>
            <w:tcW w:w="18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$351,096</w:t>
            </w:r>
          </w:p>
        </w:tc>
        <w:tc>
          <w:tcPr>
            <w:tcW w:w="160" w:type="dxa"/>
            <w:vAlign w:val="bottom"/>
          </w:tcPr>
          <w:p>
            <w:pPr>
              <w:spacing w:after="0"/>
              <w:rPr>
                <w:sz w:val="21"/>
                <w:szCs w:val="21"/>
                <w:color w:val="auto"/>
              </w:rPr>
            </w:pPr>
          </w:p>
        </w:tc>
        <w:tc>
          <w:tcPr>
            <w:tcW w:w="18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$243,064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$184,9</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rPr>
              <w:t>Electronic Technologies Group</w:t>
            </w: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195,055</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154,336</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121,809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77,8</w:t>
            </w:r>
          </w:p>
        </w:tc>
        <w:tc>
          <w:tcPr>
            <w:tcW w:w="0" w:type="dxa"/>
            <w:vAlign w:val="bottom"/>
          </w:tcPr>
          <w:p>
            <w:pPr>
              <w:spacing w:after="0"/>
              <w:rPr>
                <w:sz w:val="1"/>
                <w:szCs w:val="1"/>
                <w:color w:val="auto"/>
              </w:rPr>
            </w:pPr>
          </w:p>
        </w:tc>
      </w:tr>
      <w:tr>
        <w:trPr>
          <w:trHeight w:val="247"/>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9"/>
                <w:szCs w:val="19"/>
                <w:color w:val="auto"/>
              </w:rPr>
              <w:t>Other, primarily corporate</w:t>
            </w: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(28,516)</w:t>
            </w:r>
          </w:p>
        </w:tc>
        <w:tc>
          <w:tcPr>
            <w:tcW w:w="1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(30,475)</w:t>
            </w:r>
          </w:p>
        </w:tc>
        <w:tc>
          <w:tcPr>
            <w:tcW w:w="16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9"/>
                <w:szCs w:val="19"/>
                <w:color w:val="auto"/>
              </w:rPr>
              <w:t>(14,436)</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(14,70</w:t>
            </w:r>
          </w:p>
        </w:tc>
        <w:tc>
          <w:tcPr>
            <w:tcW w:w="0" w:type="dxa"/>
            <w:vAlign w:val="bottom"/>
          </w:tcPr>
          <w:p>
            <w:pPr>
              <w:spacing w:after="0"/>
              <w:rPr>
                <w:sz w:val="1"/>
                <w:szCs w:val="1"/>
                <w:color w:val="auto"/>
              </w:rPr>
            </w:pPr>
          </w:p>
        </w:tc>
      </w:tr>
      <w:tr>
        <w:trPr>
          <w:trHeight w:val="265"/>
        </w:trPr>
        <w:tc>
          <w:tcPr>
            <w:tcW w:w="34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$610,336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9"/>
                <w:szCs w:val="19"/>
                <w:color w:val="auto"/>
              </w:rPr>
              <w:t>$474,957</w:t>
            </w:r>
          </w:p>
        </w:tc>
        <w:tc>
          <w:tcPr>
            <w:tcW w:w="1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9"/>
                <w:szCs w:val="19"/>
                <w:color w:val="auto"/>
              </w:rPr>
              <w:t>$350,437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$248,1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Gross profit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 expenses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Interest expense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Income tax expense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line="182" w:lineRule="exact"/>
              <w:rPr>
                <w:sz w:val="20"/>
                <w:szCs w:val="20"/>
                <w:color w:val="auto"/>
              </w:rPr>
            </w:pPr>
            <w:r>
              <w:rPr>
                <w:rFonts w:ascii="Times New Roman" w:cs="Times New Roman" w:eastAsia="Times New Roman" w:hAnsi="Times New Roman"/>
                <w:sz w:val="19"/>
                <w:szCs w:val="19"/>
                <w:color w:val="auto"/>
              </w:rPr>
              <w:t>Net income attributable to noncontrolling</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12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16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interests</w:t>
            </w:r>
          </w:p>
        </w:tc>
        <w:tc>
          <w:tcPr>
            <w:tcW w:w="1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16.6%</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Comparison of First Six Months of Fiscal 2026 to First Six Months of Fiscal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Sales</w:t>
      </w:r>
    </w:p>
    <w:p>
      <w:pPr>
        <w:spacing w:after="0" w:line="241" w:lineRule="exact"/>
        <w:rPr>
          <w:sz w:val="20"/>
          <w:szCs w:val="20"/>
          <w:color w:val="auto"/>
        </w:rPr>
      </w:pPr>
    </w:p>
    <w:p>
      <w:pPr>
        <w:ind w:firstLine="623"/>
        <w:spacing w:after="0" w:line="250" w:lineRule="auto"/>
        <w:rPr>
          <w:sz w:val="20"/>
          <w:szCs w:val="20"/>
          <w:color w:val="auto"/>
        </w:rPr>
      </w:pPr>
      <w:r>
        <w:rPr>
          <w:rFonts w:ascii="Times New Roman" w:cs="Times New Roman" w:eastAsia="Times New Roman" w:hAnsi="Times New Roman"/>
          <w:sz w:val="21"/>
          <w:szCs w:val="21"/>
          <w:color w:val="auto"/>
        </w:rPr>
        <w:t>Our consolidated net sales in the first six months of fiscal 2026 increased by 20% to a record $2,554.3 million, up from net sales of $2,128.0 million in the first six months of fiscal 2025. The increase in consolidated net sales principally reflects an increase of $269.2 million (an 18% increase) to a record $1,749.4 million in net sales of the FSG and an increase of $157.7 million (a 23% increase) to a record $830.2 million in net sales of the ETG. The net sales increase in the FSG reflects robust organic growth of 16% and net sales of $36.1 million contributed by fiscal 2025 and 2026 acquisitions. The FSG's organic net sales growth reflects increased demand within its aftermarket replacement parts, repair and overhaul parts and services, and specialty products product lines resulting in net sales increases of $161.9 million, $40.3 million, and $30.5 million, respectively. The net sales increase in the ETG reflects very strong organic growth of 12% and net sales of $79.8 million contributed by fiscal 2025 and 2026 acquisitions. The ETG's organic net sales growth is mainly attributable to increased demand for its other electronics, aerospace, and defense products resulting in net sales increases of $30.7 million, $21.8 million, and $19.9 million, respectively. Sales price changes were not a significant contributing factor to the change in net sales of the FSG and ETG in the first six months of fiscal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Gross Profit and Operating Expenses</w:t>
      </w:r>
    </w:p>
    <w:p>
      <w:pPr>
        <w:spacing w:after="0" w:line="254" w:lineRule="exact"/>
        <w:rPr>
          <w:sz w:val="20"/>
          <w:szCs w:val="20"/>
          <w:color w:val="auto"/>
        </w:rPr>
      </w:pPr>
    </w:p>
    <w:p>
      <w:pPr>
        <w:ind w:right="200" w:firstLine="623"/>
        <w:spacing w:after="0" w:line="252" w:lineRule="auto"/>
        <w:rPr>
          <w:sz w:val="20"/>
          <w:szCs w:val="20"/>
          <w:color w:val="auto"/>
        </w:rPr>
      </w:pPr>
      <w:r>
        <w:rPr>
          <w:rFonts w:ascii="Times New Roman" w:cs="Times New Roman" w:eastAsia="Times New Roman" w:hAnsi="Times New Roman"/>
          <w:sz w:val="21"/>
          <w:szCs w:val="21"/>
          <w:color w:val="auto"/>
        </w:rPr>
        <w:t>Our consolidated gross profit margin improved to 40.1% in the first six months of fiscal 2026, up from 39.6% in the first six months of fiscal 2025, principally reflecting a .6% increase in the FSG’s gross profit margin. The increase in the FSG's gross profit margin principally reflects a more favorable product mix within its aftermarket replacement parts product line. Total new product research and development expenses included within our consolidated cost of sales were $68.4 million in the first six months of fiscal 2026, up from $56.3 million in the first six months of fiscal 2025.</w:t>
      </w:r>
    </w:p>
    <w:p>
      <w:pPr>
        <w:spacing w:after="0" w:line="212" w:lineRule="exact"/>
        <w:rPr>
          <w:sz w:val="20"/>
          <w:szCs w:val="20"/>
          <w:color w:val="auto"/>
        </w:rPr>
      </w:pPr>
    </w:p>
    <w:p>
      <w:pPr>
        <w:ind w:right="20" w:firstLine="623"/>
        <w:spacing w:after="0" w:line="252" w:lineRule="auto"/>
        <w:rPr>
          <w:sz w:val="20"/>
          <w:szCs w:val="20"/>
          <w:color w:val="auto"/>
        </w:rPr>
      </w:pPr>
      <w:r>
        <w:rPr>
          <w:rFonts w:ascii="Times New Roman" w:cs="Times New Roman" w:eastAsia="Times New Roman" w:hAnsi="Times New Roman"/>
          <w:sz w:val="21"/>
          <w:szCs w:val="21"/>
          <w:color w:val="auto"/>
        </w:rPr>
        <w:t>Our consolidated selling, general and administrative ("SG&amp;A") expenses were $414.2 million in the first six months of fiscal 2026, as compared to $368.5 million in the first six months of fiscal 2025. The increase in consolidated SG&amp;A expenses reflects $19.3 million attributable to our fiscal 2025 and 2026 acquisitions, an $11.3 million increase in share-based compensation expense, and costs incurred to support the previously mentioned net sales growth, which resulted in increases of $11.8 million and $3.2 million in other selling expenses and other general and administrative expenses, respectively.</w:t>
      </w:r>
    </w:p>
    <w:p>
      <w:pPr>
        <w:spacing w:after="0" w:line="212" w:lineRule="exact"/>
        <w:rPr>
          <w:sz w:val="20"/>
          <w:szCs w:val="20"/>
          <w:color w:val="auto"/>
        </w:rPr>
      </w:pPr>
    </w:p>
    <w:p>
      <w:pPr>
        <w:ind w:right="180" w:firstLine="623"/>
        <w:spacing w:after="0" w:line="259" w:lineRule="auto"/>
        <w:rPr>
          <w:sz w:val="20"/>
          <w:szCs w:val="20"/>
          <w:color w:val="auto"/>
        </w:rPr>
      </w:pPr>
      <w:r>
        <w:rPr>
          <w:rFonts w:ascii="Times New Roman" w:cs="Times New Roman" w:eastAsia="Times New Roman" w:hAnsi="Times New Roman"/>
          <w:sz w:val="21"/>
          <w:szCs w:val="21"/>
          <w:color w:val="auto"/>
        </w:rPr>
        <w:t>Our consolidated SG&amp;A expenses as a percentage of net sales improved to 16.2% in the first six months of fiscal 2026, down from 17.3% in the first six months of fiscal 2025. The decrease in consolidated SG&amp;A expenses as a percentage of net sales principally reflects efficiencies realized from the previously mentioned net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Income</w:t>
      </w:r>
    </w:p>
    <w:p>
      <w:pPr>
        <w:spacing w:after="0" w:line="241" w:lineRule="exact"/>
        <w:rPr>
          <w:sz w:val="20"/>
          <w:szCs w:val="20"/>
          <w:color w:val="auto"/>
        </w:rPr>
      </w:pPr>
    </w:p>
    <w:p>
      <w:pPr>
        <w:ind w:firstLine="623"/>
        <w:spacing w:after="0" w:line="252" w:lineRule="auto"/>
        <w:rPr>
          <w:sz w:val="20"/>
          <w:szCs w:val="20"/>
          <w:color w:val="auto"/>
        </w:rPr>
      </w:pPr>
      <w:r>
        <w:rPr>
          <w:rFonts w:ascii="Times New Roman" w:cs="Times New Roman" w:eastAsia="Times New Roman" w:hAnsi="Times New Roman"/>
          <w:sz w:val="21"/>
          <w:szCs w:val="21"/>
          <w:color w:val="auto"/>
        </w:rPr>
        <w:t>Our consolidated operating income increased by 29% to a record $610.3 million in the first six months of fiscal 2026, up from $475.0 million in the first six months of fiscal 2025. The increase in consolidated operating income principally reflects a $92.7 million increase (a 26% increase) to a record $443.8 million in operating income of the FSG and a $40.7 million increase (a 26% increase) to a record $195.1 million in operating income of the ETG. The increase in operating income of the FSG principally reflects the previously mentioned net sales growth, SG&amp;A expense efficiencies realized from the net sales growth, and the previously mentioned improved gross profit margin. The increase in operating income of the ETG principally reflects the previously mentioned net sales growth and SG&amp;A expense efficiencies realized from the net sales growth.</w:t>
      </w:r>
    </w:p>
    <w:p>
      <w:pPr>
        <w:spacing w:after="0" w:line="211" w:lineRule="exact"/>
        <w:rPr>
          <w:sz w:val="20"/>
          <w:szCs w:val="20"/>
          <w:color w:val="auto"/>
        </w:rPr>
      </w:pPr>
    </w:p>
    <w:p>
      <w:pPr>
        <w:ind w:right="100" w:firstLine="623"/>
        <w:spacing w:after="0" w:line="250" w:lineRule="auto"/>
        <w:rPr>
          <w:sz w:val="20"/>
          <w:szCs w:val="20"/>
          <w:color w:val="auto"/>
        </w:rPr>
      </w:pPr>
      <w:r>
        <w:rPr>
          <w:rFonts w:ascii="Times New Roman" w:cs="Times New Roman" w:eastAsia="Times New Roman" w:hAnsi="Times New Roman"/>
          <w:sz w:val="21"/>
          <w:szCs w:val="21"/>
          <w:color w:val="auto"/>
        </w:rPr>
        <w:t>Our consolidated operating income as a percentage of net sales improved to 23.9% in the first six months of fiscal 2026, up from 22.3% in the first six months of fiscal 2025. The increase in consolidated operating income as a percentage of net sales principally reflects an increase in the FSG’s operating income as a percentage of net sales to 25.4% in the first six months of fiscal 2026, up from 23.7% in the first six months of fiscal 2025, and an increase in the ETG's operating income as a percentage of net sales to 23.5% in the first six months of fiscal 2026, up from 23.0% in the first six months of fiscal 2025. The increase in the FSG's operating income as a percentage of net sales reflects a 1.1% impact from a decrease in SG&amp;A expenses as a percentage of net sales, mainly due to the previously mentioned SG&amp;A expense efficiencies and the previously mentioned improved gross profit margin. The increase in the ETG's operating income as a percentage of net sales principally reflects the previously mentioned SG&amp;A expense efficiencies.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Interest Expense</w:t>
      </w:r>
    </w:p>
    <w:p>
      <w:pPr>
        <w:spacing w:after="0" w:line="241" w:lineRule="exact"/>
        <w:rPr>
          <w:sz w:val="20"/>
          <w:szCs w:val="20"/>
          <w:color w:val="auto"/>
        </w:rPr>
      </w:pPr>
    </w:p>
    <w:p>
      <w:pPr>
        <w:ind w:right="220" w:firstLine="623"/>
        <w:spacing w:after="0" w:line="266" w:lineRule="auto"/>
        <w:rPr>
          <w:sz w:val="20"/>
          <w:szCs w:val="20"/>
          <w:color w:val="auto"/>
        </w:rPr>
      </w:pPr>
      <w:r>
        <w:rPr>
          <w:rFonts w:ascii="Times New Roman" w:cs="Times New Roman" w:eastAsia="Times New Roman" w:hAnsi="Times New Roman"/>
          <w:sz w:val="21"/>
          <w:szCs w:val="21"/>
          <w:color w:val="auto"/>
        </w:rPr>
        <w:t>Interest expense decreased to $63.6 million in the first six months of fiscal 2026, down from $65.3 million in the first six months of fiscal 2025. The decrease in interest expense was principally due to a lower weighted-average interest rate on outstanding borrowings under our revolving credit facility, partially offset by an increase in the amount of debt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Other Income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Other income in the first six months of fiscal 2026 and 2025 was not material.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Income Tax Expense</w:t>
      </w:r>
    </w:p>
    <w:p>
      <w:pPr>
        <w:spacing w:after="0" w:line="254" w:lineRule="exact"/>
        <w:rPr>
          <w:sz w:val="20"/>
          <w:szCs w:val="20"/>
          <w:color w:val="auto"/>
        </w:rPr>
      </w:pPr>
    </w:p>
    <w:p>
      <w:pPr>
        <w:ind w:right="80" w:firstLine="623"/>
        <w:spacing w:after="0" w:line="254" w:lineRule="auto"/>
        <w:rPr>
          <w:sz w:val="20"/>
          <w:szCs w:val="20"/>
          <w:color w:val="auto"/>
        </w:rPr>
      </w:pPr>
      <w:r>
        <w:rPr>
          <w:rFonts w:ascii="Times New Roman" w:cs="Times New Roman" w:eastAsia="Times New Roman" w:hAnsi="Times New Roman"/>
          <w:sz w:val="21"/>
          <w:szCs w:val="21"/>
          <w:color w:val="auto"/>
        </w:rPr>
        <w:t>Our effective tax rate was 17.1% in the first six months of fiscal 2026, as compared to 14.4% in the first six months of fiscal 2025. The increase in our effective tax rate principally reflects a smaller tax benefit from stock option exercises recognized in the first quarter of fiscal 2026. We recognized a discrete tax benefit from stock option exercises in the first quarter of fiscal 2026 and 2025 of $22.3 million and $27.2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Noncontrolling Interests</w:t>
      </w:r>
    </w:p>
    <w:p>
      <w:pPr>
        <w:spacing w:after="0" w:line="189" w:lineRule="exact"/>
        <w:rPr>
          <w:sz w:val="20"/>
          <w:szCs w:val="20"/>
          <w:color w:val="auto"/>
        </w:rPr>
      </w:pPr>
    </w:p>
    <w:p>
      <w:pPr>
        <w:ind w:right="20" w:firstLine="623"/>
        <w:spacing w:after="0" w:line="252" w:lineRule="auto"/>
        <w:rPr>
          <w:sz w:val="20"/>
          <w:szCs w:val="20"/>
          <w:color w:val="auto"/>
        </w:rPr>
      </w:pPr>
      <w:r>
        <w:rPr>
          <w:rFonts w:ascii="Times New Roman" w:cs="Times New Roman" w:eastAsia="Times New Roman" w:hAnsi="Times New Roman"/>
          <w:sz w:val="21"/>
          <w:szCs w:val="21"/>
          <w:color w:val="auto"/>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$31.1 million in the first six months of fiscal 2026, as compared to $27.3 million in the first six months of fiscal 2025. The increase in net income attributable to noncontrolling interests principally reflects improved operating results of certain subsidiaries in which noncontrolling interests are held.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HEICO</w:t>
      </w:r>
    </w:p>
    <w:p>
      <w:pPr>
        <w:spacing w:after="0" w:line="254" w:lineRule="exact"/>
        <w:rPr>
          <w:sz w:val="20"/>
          <w:szCs w:val="20"/>
          <w:color w:val="auto"/>
        </w:rPr>
      </w:pPr>
    </w:p>
    <w:p>
      <w:pPr>
        <w:ind w:right="180" w:firstLine="623"/>
        <w:spacing w:after="0" w:line="259" w:lineRule="auto"/>
        <w:rPr>
          <w:sz w:val="20"/>
          <w:szCs w:val="20"/>
          <w:color w:val="auto"/>
        </w:rPr>
      </w:pPr>
      <w:r>
        <w:rPr>
          <w:rFonts w:ascii="Times New Roman" w:cs="Times New Roman" w:eastAsia="Times New Roman" w:hAnsi="Times New Roman"/>
          <w:sz w:val="21"/>
          <w:szCs w:val="21"/>
          <w:color w:val="auto"/>
        </w:rPr>
        <w:t>Net income attributable to HEICO increased by 31% to a record $424.0 million, or $3.01 per diluted share, in the first six months of fiscal 2026, up from $324.7 million, or $2.31 per diluted share, in the first six months of fiscal 2025, principally reflecting the previously mentioned higher consolidated operating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Comparison of Second Quarter of Fiscal 2026 to Second Quarter of Fiscal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Sales</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consolidated net sales in the second quarter of fiscal 2026 increased by 25% to a record $1,375.7 million, up from net sales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$1,097.8 million in the second quarter of fiscal 2025. The increase in consolidated net sales principally reflects an increase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$162.4 million (a 21% increase) to a record $929.4 million in net sales of the FSG and an increase of $117.4 million (a 34% increase)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a record $459.5 million in net sales of the ETG. The net sales increase in the FSG reflects strong organic growth of 19% and net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of $17.4 million contributed by fiscal 2026 acquisitions. The FSG's organic net sales growth reflects increased demand within 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aftermarket replacement parts, specialty products, and repair and overhaul parts and services product lines resulting in net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increases of $102.4 million, $22.7 million, and $19.7 million, respectively. The net sales increase in the ETG reflects strong organic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growth of 17% and net sales of $58.3 million contributed by fiscal 2026 and 2025 acquisitions. The ETG's organic net sales growth 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mainly attributable to increased demand for its other electronics, defense, aerospace, and space products resulting in net sales increases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$22.6 million, $16.5 million, $13.8 million, and $4.0 million, respectively. Sales price changes were not a significant contributing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factor to the change in net sales of the FSG and ETG in the second quarter of fiscal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Gross Profit and Operating Expenses</w:t>
      </w:r>
    </w:p>
    <w:p>
      <w:pPr>
        <w:spacing w:after="0" w:line="241" w:lineRule="exact"/>
        <w:rPr>
          <w:sz w:val="20"/>
          <w:szCs w:val="20"/>
          <w:color w:val="auto"/>
        </w:rPr>
      </w:pPr>
    </w:p>
    <w:p>
      <w:pPr>
        <w:ind w:right="120" w:firstLine="623"/>
        <w:spacing w:after="0" w:line="275" w:lineRule="auto"/>
        <w:rPr>
          <w:sz w:val="20"/>
          <w:szCs w:val="20"/>
          <w:color w:val="auto"/>
        </w:rPr>
      </w:pPr>
      <w:r>
        <w:rPr>
          <w:rFonts w:ascii="Arial" w:cs="Arial" w:eastAsia="Arial" w:hAnsi="Arial"/>
          <w:sz w:val="19"/>
          <w:szCs w:val="19"/>
          <w:color w:val="auto"/>
        </w:rPr>
        <w:t>O</w:t>
      </w:r>
      <w:r>
        <w:rPr>
          <w:rFonts w:ascii="Times New Roman" w:cs="Times New Roman" w:eastAsia="Times New Roman" w:hAnsi="Times New Roman"/>
          <w:sz w:val="20"/>
          <w:szCs w:val="20"/>
          <w:color w:val="auto"/>
        </w:rPr>
        <w:t>ur consolidated gross profit margin improved to 41.4% in the second quarter of fiscal 2026, up from 39.9% in the second</w:t>
      </w:r>
      <w:r>
        <w:rPr>
          <w:rFonts w:ascii="Arial" w:cs="Arial" w:eastAsia="Arial" w:hAnsi="Arial"/>
          <w:sz w:val="19"/>
          <w:szCs w:val="19"/>
          <w:color w:val="auto"/>
        </w:rPr>
        <w:t xml:space="preserve"> </w:t>
      </w:r>
      <w:r>
        <w:rPr>
          <w:rFonts w:ascii="Times New Roman" w:cs="Times New Roman" w:eastAsia="Times New Roman" w:hAnsi="Times New Roman"/>
          <w:sz w:val="20"/>
          <w:szCs w:val="20"/>
          <w:color w:val="auto"/>
        </w:rPr>
        <w:t>quarter of fiscal 2025, principally reflecting a 2.7% increase in the ETG’s gross profit margin and a .8% increase in the FSG's gross profit margin. The increase in the ETG's gross profit margin principally reflects the previously mentioned higher net sales and a more favorable product mix of its aerospace products. The increase in the FSG's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1"/>
          <w:szCs w:val="21"/>
          <w:color w:val="auto"/>
        </w:rPr>
        <w:t>gross profit margin principally reflects a more favorable product mix within its aftermarket replacement parts product line. Total new product research and development expenses included within our consolidated cost of sales were $36.4 million in the second quarter of fiscal 2026, up from $28.7 million in the second quarter of fiscal 2025.</w:t>
      </w:r>
    </w:p>
    <w:p>
      <w:pPr>
        <w:spacing w:after="0" w:line="205" w:lineRule="exact"/>
        <w:rPr>
          <w:sz w:val="20"/>
          <w:szCs w:val="20"/>
          <w:color w:val="auto"/>
        </w:rPr>
      </w:pPr>
    </w:p>
    <w:p>
      <w:pPr>
        <w:ind w:right="180" w:firstLine="623"/>
        <w:spacing w:after="0" w:line="252" w:lineRule="auto"/>
        <w:rPr>
          <w:sz w:val="20"/>
          <w:szCs w:val="20"/>
          <w:color w:val="auto"/>
        </w:rPr>
      </w:pPr>
      <w:r>
        <w:rPr>
          <w:rFonts w:ascii="Times New Roman" w:cs="Times New Roman" w:eastAsia="Times New Roman" w:hAnsi="Times New Roman"/>
          <w:sz w:val="21"/>
          <w:szCs w:val="21"/>
          <w:color w:val="auto"/>
        </w:rPr>
        <w:t>Our consolidated SG&amp;A expenses were $219.1 million in the second quarter of fiscal 2026, as compared to $189.7 million in the second quarter of fiscal 2025. The increase in consolidated SG&amp;A expenses reflects $11.8 million attributable to our fiscal 2026 and 2025 acquisitions, $4.9 million of higher share-based compensation expense, and costs incurred to support the previously mentioned net sales growth, which resulted in increases of $6.9 million and $5.8 million in other selling expenses and other general and administrative expenses, respectively.</w:t>
      </w:r>
    </w:p>
    <w:p>
      <w:pPr>
        <w:spacing w:after="0" w:line="212"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21"/>
          <w:szCs w:val="21"/>
          <w:color w:val="auto"/>
        </w:rPr>
        <w:t>Our consolidated SG&amp;A expenses as a percentage of net sales improved to 15.9% in the second quarter of fiscal 2026, down from 17.3% in the second quarter of fiscal 2025. The decrease in consolidated SG&amp;A expenses as a percentage of net sales principally reflects efficiencies realized from the previously mentioned net sales growth.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Income</w:t>
      </w:r>
    </w:p>
    <w:p>
      <w:pPr>
        <w:spacing w:after="0" w:line="241"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20"/>
          <w:szCs w:val="20"/>
          <w:color w:val="auto"/>
        </w:rPr>
        <w:t>Our consolidated operating income increased by 41% to a record $350.4 million in the second quarter of fiscal 2026, up from $248.2 million in the second quarter of fiscal 2025. The increase in consolidated operating income principally reflects a $58.1 million increase (a 31% increase) to a record $243.1 million in operating income of the FSG and a $43.9 million increase (a 56% increase) to a record $121.8 million in operating income of the ETG. The increase in operating income of the FSG principally reflects the previously mentioned net sales growth, SG&amp;A expense efficiencies realized from the net sales growth, and the previously mentioned improved gross profit margin. The increase in operating income of the ETG principally reflects the previously mentioned net sales growth and improved gross profit margin, as well as SG&amp;A expense efficiencies realized from the net sales growth.</w:t>
      </w:r>
    </w:p>
    <w:p>
      <w:pPr>
        <w:spacing w:after="0" w:line="202" w:lineRule="exact"/>
        <w:rPr>
          <w:sz w:val="20"/>
          <w:szCs w:val="20"/>
          <w:color w:val="auto"/>
        </w:rPr>
      </w:pPr>
    </w:p>
    <w:p>
      <w:pPr>
        <w:ind w:right="20" w:firstLine="623"/>
        <w:spacing w:after="0" w:line="249" w:lineRule="auto"/>
        <w:rPr>
          <w:sz w:val="20"/>
          <w:szCs w:val="20"/>
          <w:color w:val="auto"/>
        </w:rPr>
      </w:pPr>
      <w:r>
        <w:rPr>
          <w:rFonts w:ascii="Times New Roman" w:cs="Times New Roman" w:eastAsia="Times New Roman" w:hAnsi="Times New Roman"/>
          <w:sz w:val="21"/>
          <w:szCs w:val="21"/>
          <w:color w:val="auto"/>
        </w:rPr>
        <w:t>Our consolidated operating income as a percentage of net sales improved to 25.5% in the second quarter of fiscal 2026, up from 22.6% in the second quarter of fiscal 2025. The increase in consolidated operating income as a percentage of net sales principally reflects an increase in the ETG’s operating income as a percentage of net sales to 26.5% in the second quarter of fiscal 2026, up from 22.8% in the second quarter of fiscal 2025, and an increase in the FSG's operating income as a percentage of net sales to 26.2% in the second quarter of fiscal 2026, up from 24.1% in the second quarter of fiscal 2025. The increase in the ETG's operating income as a percentage of net sales reflects the previously mentioned improved gross profit margin and a 1.0% impact from a decrease in SG&amp;A expenses as a percentage of net sales, primarily driven by the previously mentioned SG&amp;A expense efficiencies. The increase in the FSG's operating income as a percentage of net sales reflects a 1.3% impact from a decrease in SG&amp;A expenses as a percentage of net sales, primarily driven by the previously mentioned SG&amp;A expense efficiencies, and the previously mentioned improved gross profit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Interest Expense</w:t>
      </w:r>
    </w:p>
    <w:p>
      <w:pPr>
        <w:spacing w:after="0" w:line="241" w:lineRule="exact"/>
        <w:rPr>
          <w:sz w:val="20"/>
          <w:szCs w:val="20"/>
          <w:color w:val="auto"/>
        </w:rPr>
      </w:pPr>
    </w:p>
    <w:p>
      <w:pPr>
        <w:ind w:right="140" w:firstLine="623"/>
        <w:spacing w:after="0" w:line="266" w:lineRule="auto"/>
        <w:rPr>
          <w:sz w:val="20"/>
          <w:szCs w:val="20"/>
          <w:color w:val="auto"/>
        </w:rPr>
      </w:pPr>
      <w:r>
        <w:rPr>
          <w:rFonts w:ascii="Times New Roman" w:cs="Times New Roman" w:eastAsia="Times New Roman" w:hAnsi="Times New Roman"/>
          <w:sz w:val="21"/>
          <w:szCs w:val="21"/>
          <w:color w:val="auto"/>
        </w:rPr>
        <w:t>Interest expense increased to $34.2 million in the second quarter of fiscal 2026, as compared to $32.9 million in the second quarter of fiscal 2025. The increase in interest expense was principally due to an increase in the amount of outstanding debt, partially offset by a lower weighted-average interest rate on borrowings outstanding under our revolving credit facility.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Other Income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Other income in the second quarter of fiscal 2026 and 2025 was not material.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Income Tax Expense</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Our effective tax rate was 21.2% in the second quarter of fiscal 2026, as compared to 21.0% in the second quarter of fiscal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Noncontrolling Interests</w:t>
      </w:r>
    </w:p>
    <w:p>
      <w:pPr>
        <w:spacing w:after="0" w:line="241" w:lineRule="exact"/>
        <w:rPr>
          <w:sz w:val="20"/>
          <w:szCs w:val="20"/>
          <w:color w:val="auto"/>
        </w:rPr>
      </w:pPr>
    </w:p>
    <w:p>
      <w:pPr>
        <w:ind w:right="60" w:firstLine="623"/>
        <w:spacing w:after="0" w:line="255" w:lineRule="auto"/>
        <w:rPr>
          <w:sz w:val="20"/>
          <w:szCs w:val="20"/>
          <w:color w:val="auto"/>
        </w:rPr>
      </w:pPr>
      <w:r>
        <w:rPr>
          <w:rFonts w:ascii="Times New Roman" w:cs="Times New Roman" w:eastAsia="Times New Roman" w:hAnsi="Times New Roman"/>
          <w:sz w:val="21"/>
          <w:szCs w:val="21"/>
          <w:color w:val="auto"/>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$16.5 million in the second quarter of fiscal 2026, as compared to $13.7 million in the second quarter of fiscal 2025. The increase in net income attributable to noncontrolling interests principally reflects improved operating results of certain subsidiaries in which noncontrolling interests are held.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Net Income Attributable to HEICO</w:t>
      </w:r>
    </w:p>
    <w:p>
      <w:pPr>
        <w:spacing w:after="0" w:line="241"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Net income attributable to HEICO increased by 49% to a record $233.8 million, or $1.66 per diluted share, in the second quarter of fiscal 2026, up from $156.8 million, or $1.12 per diluted share, in the second quarter of fiscal 2025 principally reflecting the previously mentioned higher consolidated operating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Outlook</w:t>
      </w:r>
    </w:p>
    <w:p>
      <w:pPr>
        <w:spacing w:after="0" w:line="243" w:lineRule="exact"/>
        <w:rPr>
          <w:sz w:val="20"/>
          <w:szCs w:val="20"/>
          <w:color w:val="auto"/>
        </w:rPr>
      </w:pPr>
    </w:p>
    <w:p>
      <w:pPr>
        <w:ind w:right="240" w:firstLine="623"/>
        <w:spacing w:after="0" w:line="254" w:lineRule="auto"/>
        <w:rPr>
          <w:sz w:val="20"/>
          <w:szCs w:val="20"/>
          <w:color w:val="auto"/>
        </w:rPr>
      </w:pPr>
      <w:r>
        <w:rPr>
          <w:rFonts w:ascii="Times New Roman" w:cs="Times New Roman" w:eastAsia="Times New Roman" w:hAnsi="Times New Roman"/>
          <w:sz w:val="21"/>
          <w:szCs w:val="21"/>
          <w:color w:val="auto"/>
        </w:rPr>
        <w:t>For the remainder of fiscal 2026, we expect increased net sales at both the FSG and ETG to continue to be supported by underlying demand for our products and contributions from recent acquisitions. We intend to continue evaluating acquisition opportunities that are consistent with our strategic objectives. Our capital allocation approach remains focused on balancing organic growth and acquisitions while maintaining liquidity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243" w:lineRule="exact"/>
        <w:rPr>
          <w:sz w:val="20"/>
          <w:szCs w:val="20"/>
          <w:color w:val="auto"/>
        </w:rPr>
      </w:pPr>
    </w:p>
    <w:p>
      <w:pPr>
        <w:ind w:firstLine="623"/>
        <w:spacing w:after="0" w:line="255" w:lineRule="auto"/>
        <w:rPr>
          <w:sz w:val="20"/>
          <w:szCs w:val="20"/>
          <w:color w:val="auto"/>
        </w:rPr>
      </w:pPr>
      <w:r>
        <w:rPr>
          <w:rFonts w:ascii="Times New Roman" w:cs="Times New Roman" w:eastAsia="Times New Roman" w:hAnsi="Times New Roman"/>
          <w:sz w:val="21"/>
          <w:szCs w:val="21"/>
          <w:color w:val="auto"/>
        </w:rPr>
        <w:t>Our principal uses of cash include acquisitions, interest payments, capital expenditures, cash dividends, distributions to noncontrolling interests and working capital needs. We now estimate fiscal 2026 capital expenditures to be approximately $85 to $95 million. We finance our activities primarily from our operating and financing activities, including borrowings under our revolving credit facility. The revolving credit facility and senior unsecured notes contain both financial and non-financial covenants. As of April 30, 2026, we were in compliance with all such covenants and our total debt to shareholders’ equity ratio was 53.3%.</w:t>
      </w:r>
    </w:p>
    <w:p>
      <w:pPr>
        <w:spacing w:after="0" w:line="197" w:lineRule="exact"/>
        <w:rPr>
          <w:sz w:val="20"/>
          <w:szCs w:val="20"/>
          <w:color w:val="auto"/>
        </w:rPr>
      </w:pPr>
    </w:p>
    <w:p>
      <w:pPr>
        <w:ind w:right="320" w:firstLine="623"/>
        <w:spacing w:after="0" w:line="274" w:lineRule="auto"/>
        <w:rPr>
          <w:sz w:val="20"/>
          <w:szCs w:val="20"/>
          <w:color w:val="auto"/>
        </w:rPr>
      </w:pPr>
      <w:r>
        <w:rPr>
          <w:rFonts w:ascii="Times New Roman" w:cs="Times New Roman" w:eastAsia="Times New Roman" w:hAnsi="Times New Roman"/>
          <w:sz w:val="21"/>
          <w:szCs w:val="21"/>
          <w:color w:val="auto"/>
        </w:rPr>
        <w:t>Based on our current outlook, we believe that net cash provided by operating activities and available borrowings under our revolving credit facility will be sufficient to fund our cash requirements for at least the next twelve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Activities</w:t>
      </w:r>
    </w:p>
    <w:p>
      <w:pPr>
        <w:spacing w:after="0" w:line="241" w:lineRule="exact"/>
        <w:rPr>
          <w:sz w:val="20"/>
          <w:szCs w:val="20"/>
          <w:color w:val="auto"/>
        </w:rPr>
      </w:pPr>
    </w:p>
    <w:p>
      <w:pPr>
        <w:ind w:firstLine="623"/>
        <w:spacing w:after="0" w:line="249" w:lineRule="auto"/>
        <w:rPr>
          <w:sz w:val="20"/>
          <w:szCs w:val="20"/>
          <w:color w:val="auto"/>
        </w:rPr>
      </w:pPr>
      <w:r>
        <w:rPr>
          <w:rFonts w:ascii="Times New Roman" w:cs="Times New Roman" w:eastAsia="Times New Roman" w:hAnsi="Times New Roman"/>
          <w:sz w:val="21"/>
          <w:szCs w:val="21"/>
          <w:color w:val="auto"/>
        </w:rPr>
        <w:t>Net cash provided by operating activities was $470.6 million in the first six months of fiscal 2026 and consisted primarily of net income from consolidated operations of $455.1 million, depreciation and amortization expense of $107.6 million (a non-cash item), $22.5 million in share-based compensation expense (a non-cash item), net changes of $18.4 million included in the "Other" caption (principally the receipt of advance deposits on certain long-term customer contracts), net changes in other long-term liabilities and assets related to the HEICO Corporation Leadership Compensation Plan (the "LCP") of $13.7 million (principally participant deferrals and employer contributions), an $11.8 million deferred income tax provision (a non-cash item), and $10.5 million in employer contributions to the HEICO Savings and Investment Plan (a non-cash item), partially offset by a $173.5 million increase in net working capital. The increase in net working capital is inclusive of a $75.9 million decrease in accrued expenses and other current liabilities, mainly reflecting the payment of fiscal 2025 accrued performance-based compensation, distributions to participants of the LCP, and the payment of payroll taxes arising from withholding requirements on stock option exercises, partially offset by accrued performance-based compensation expense; as well as a $65.1 million increase in accounts receivable resulting from the timing of collections, and a $40.5 million increase in inventories to support an increase in consolidated backlog, partially offset by a $50.0 million increase in trade accounts payable.</w:t>
      </w:r>
    </w:p>
    <w:p>
      <w:pPr>
        <w:spacing w:after="0" w:line="209"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21"/>
          <w:szCs w:val="21"/>
          <w:color w:val="auto"/>
        </w:rPr>
        <w:t>Net cash provided by operating activities increased by $62.8 million (a 15% increase) in the first six months of fiscal 2026, up from $407.7 million in the first six months of fiscal 2025. The increase is principally attributable to a $103.0 million increase in net income from consolidated operations and a $29.7 million increase in the deferred income tax provision, partially offset by a $79.8 million increase in net working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Investing Activities</w:t>
      </w:r>
    </w:p>
    <w:p>
      <w:pPr>
        <w:spacing w:after="0" w:line="241" w:lineRule="exact"/>
        <w:rPr>
          <w:sz w:val="20"/>
          <w:szCs w:val="20"/>
          <w:color w:val="auto"/>
        </w:rPr>
      </w:pPr>
    </w:p>
    <w:p>
      <w:pPr>
        <w:ind w:right="580" w:firstLine="623"/>
        <w:spacing w:after="0" w:line="274" w:lineRule="auto"/>
        <w:rPr>
          <w:sz w:val="20"/>
          <w:szCs w:val="20"/>
          <w:color w:val="auto"/>
        </w:rPr>
      </w:pPr>
      <w:r>
        <w:rPr>
          <w:rFonts w:ascii="Times New Roman" w:cs="Times New Roman" w:eastAsia="Times New Roman" w:hAnsi="Times New Roman"/>
          <w:sz w:val="21"/>
          <w:szCs w:val="21"/>
          <w:color w:val="auto"/>
        </w:rPr>
        <w:t>Net cash used in investing activities totaled $851.0 million in the first six months of fiscal 2026 and related primarily to acquisitions of $821.3 million, capital expenditures of $31.5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1"/>
          <w:szCs w:val="21"/>
          <w:color w:val="auto"/>
        </w:rPr>
        <w:t>million, and LCP funding of $16.8 million, partially offset by $22.7 million in proceeds from corporate-owned life insurance policy withdrawals within the LCP. Further details regarding our fiscal 2026 acquisitions may be found in Note 2, Acquisitions, of the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Financing Activities</w:t>
      </w:r>
    </w:p>
    <w:p>
      <w:pPr>
        <w:spacing w:after="0" w:line="241" w:lineRule="exact"/>
        <w:rPr>
          <w:sz w:val="20"/>
          <w:szCs w:val="20"/>
          <w:color w:val="auto"/>
        </w:rPr>
      </w:pPr>
    </w:p>
    <w:p>
      <w:pPr>
        <w:ind w:right="100" w:firstLine="623"/>
        <w:spacing w:after="0" w:line="254" w:lineRule="auto"/>
        <w:rPr>
          <w:sz w:val="20"/>
          <w:szCs w:val="20"/>
          <w:color w:val="auto"/>
        </w:rPr>
      </w:pPr>
      <w:r>
        <w:rPr>
          <w:rFonts w:ascii="Times New Roman" w:cs="Times New Roman" w:eastAsia="Times New Roman" w:hAnsi="Times New Roman"/>
          <w:sz w:val="21"/>
          <w:szCs w:val="21"/>
          <w:color w:val="auto"/>
        </w:rPr>
        <w:t>Net cash provided by financing activities in the first six months of fiscal 2026 totaled $371.9 million. During the first six months of fiscal 2026, we borrowed $830.7 million under our revolving credit facility, which was partially offset by $410.7 million in payments made on our revolving credit facility, $16.7 million of cash dividends paid on our common stock, $16.4 million of distributions to noncontrolling interests, and $12.4 million of payments to acquire certain noncontrolling interests.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Obligations and Commitments</w:t>
      </w:r>
    </w:p>
    <w:p>
      <w:pPr>
        <w:spacing w:after="0" w:line="243" w:lineRule="exact"/>
        <w:rPr>
          <w:sz w:val="20"/>
          <w:szCs w:val="20"/>
          <w:color w:val="auto"/>
        </w:rPr>
      </w:pPr>
    </w:p>
    <w:p>
      <w:pPr>
        <w:ind w:right="160" w:firstLine="623"/>
        <w:spacing w:after="0" w:line="274" w:lineRule="auto"/>
        <w:rPr>
          <w:sz w:val="20"/>
          <w:szCs w:val="20"/>
          <w:color w:val="auto"/>
        </w:rPr>
      </w:pPr>
      <w:r>
        <w:rPr>
          <w:rFonts w:ascii="Times New Roman" w:cs="Times New Roman" w:eastAsia="Times New Roman" w:hAnsi="Times New Roman"/>
          <w:sz w:val="21"/>
          <w:szCs w:val="21"/>
          <w:color w:val="auto"/>
        </w:rPr>
        <w:t>There have not been any material changes to our other obligations and commitments that were included in our Annual Report on Form 10-K for the year ended October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New Accounting Pronouncements</w:t>
      </w:r>
    </w:p>
    <w:p>
      <w:pPr>
        <w:spacing w:after="0" w:line="243" w:lineRule="exact"/>
        <w:rPr>
          <w:sz w:val="20"/>
          <w:szCs w:val="20"/>
          <w:color w:val="auto"/>
        </w:rPr>
      </w:pPr>
    </w:p>
    <w:p>
      <w:pPr>
        <w:ind w:right="940" w:firstLine="208"/>
        <w:spacing w:after="0" w:line="274" w:lineRule="auto"/>
        <w:rPr>
          <w:sz w:val="20"/>
          <w:szCs w:val="20"/>
          <w:color w:val="auto"/>
        </w:rPr>
      </w:pPr>
      <w:r>
        <w:rPr>
          <w:rFonts w:ascii="Times New Roman" w:cs="Times New Roman" w:eastAsia="Times New Roman" w:hAnsi="Times New Roman"/>
          <w:sz w:val="21"/>
          <w:szCs w:val="21"/>
          <w:color w:val="auto"/>
        </w:rPr>
        <w:t>See Note 1, Summary of Significant Accounting Policies - New Accounting Pronouncements, of the Notes to Condensed Consolidated Financial Statements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Guarantor Group Summarized Financial Information</w:t>
      </w:r>
    </w:p>
    <w:p>
      <w:pPr>
        <w:spacing w:after="0" w:line="243" w:lineRule="exact"/>
        <w:rPr>
          <w:sz w:val="20"/>
          <w:szCs w:val="20"/>
          <w:color w:val="auto"/>
        </w:rPr>
      </w:pPr>
    </w:p>
    <w:p>
      <w:pPr>
        <w:ind w:right="40" w:firstLine="623"/>
        <w:spacing w:after="0" w:line="253" w:lineRule="auto"/>
        <w:rPr>
          <w:sz w:val="20"/>
          <w:szCs w:val="20"/>
          <w:color w:val="auto"/>
        </w:rPr>
      </w:pPr>
      <w:r>
        <w:rPr>
          <w:rFonts w:ascii="Times New Roman" w:cs="Times New Roman" w:eastAsia="Times New Roman" w:hAnsi="Times New Roman"/>
          <w:sz w:val="21"/>
          <w:szCs w:val="21"/>
          <w:color w:val="auto"/>
        </w:rPr>
        <w:t>On July 27, 2023, we completed the public offer and sale of senior unsecured notes, which consisted of $600 million principal amount of 5.25% Senior Notes due August 1, 2028 (the "2028 Notes") and $600 million principal amount of 5.35% Senior Notes due August 1, 2033 (the "2033 Notes" and, collectively with the 2028 Notes, the "Notes"). The Notes are fully and unconditionally guaranteed on a senior unsecured basis by all of our existing and future subsidiaries that guarantee our obligations under our revolving credit facility ("Credit Facility") (the “Guarantor Group”). We were in compliance with all covenants related to the Notes as of April 30, 2026.</w:t>
      </w:r>
    </w:p>
    <w:p>
      <w:pPr>
        <w:spacing w:after="0" w:line="199" w:lineRule="exact"/>
        <w:rPr>
          <w:sz w:val="20"/>
          <w:szCs w:val="20"/>
          <w:color w:val="auto"/>
        </w:rPr>
      </w:pPr>
    </w:p>
    <w:p>
      <w:pPr>
        <w:ind w:firstLine="623"/>
        <w:spacing w:after="0" w:line="252" w:lineRule="auto"/>
        <w:rPr>
          <w:sz w:val="20"/>
          <w:szCs w:val="20"/>
          <w:color w:val="auto"/>
        </w:rPr>
      </w:pPr>
      <w:r>
        <w:rPr>
          <w:rFonts w:ascii="Times New Roman" w:cs="Times New Roman" w:eastAsia="Times New Roman" w:hAnsi="Times New Roman"/>
          <w:sz w:val="21"/>
          <w:szCs w:val="21"/>
          <w:color w:val="auto"/>
        </w:rPr>
        <w:t>The Notes were issued pursuant to an Indenture, dated as of July 27, 2023 (the “Base Indenture”), between HEICO and certain of its subsidiaries (collectively, the "Subsidiary Guarantors") and Truist Bank, as trustee (the “Trustee”), as supplemented by a First Supplemental Indenture, dated as of July 27, 2023 (the “First Supplemental Indenture” and, together with the Base Indenture, the “Indenture”), between us, the Subsidiary Guarantors and the Trustee. The Notes are direct, unsecured senior obligations of HEICO and rank equally in right of payment with all of our existing and future senior unsecured indebtedness. Each Subsidiary Guarantor is owned either directly or indirectly by the Company and jointly and severally guarantee our obligations under the Notes. None of the Subsidiary Guarantors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organized outside of the U.S. A list of Subsidiary Guarantors is included as Exhibit 22 to this quarterly report.</w:t>
      </w:r>
    </w:p>
    <w:p>
      <w:pPr>
        <w:spacing w:after="0" w:line="239" w:lineRule="exact"/>
        <w:rPr>
          <w:sz w:val="20"/>
          <w:szCs w:val="20"/>
          <w:color w:val="auto"/>
        </w:rPr>
      </w:pPr>
    </w:p>
    <w:p>
      <w:pPr>
        <w:ind w:right="40" w:firstLine="623"/>
        <w:spacing w:after="0" w:line="253" w:lineRule="auto"/>
        <w:rPr>
          <w:sz w:val="20"/>
          <w:szCs w:val="20"/>
          <w:color w:val="auto"/>
        </w:rPr>
      </w:pPr>
      <w:r>
        <w:rPr>
          <w:rFonts w:ascii="Times New Roman" w:cs="Times New Roman" w:eastAsia="Times New Roman" w:hAnsi="Times New Roman"/>
          <w:sz w:val="21"/>
          <w:szCs w:val="21"/>
          <w:color w:val="auto"/>
        </w:rPr>
        <w:t>Under the Indenture, holders of the Notes will be deemed to have consented to the release of a subsidiary guarantee provided by a subsidiary guarantor, without any action required on the part of the Trustee or any holder of the Notes, upon such subsidiary guarantor ceasing to guarantee or to be an obligor with respect to the Credit Facility. Accordingly, if the lenders under the Credit Facility release a subsidiary guarantor from its guarantee of, or obligations as a borrower under, the Credit Facility, the obligations of the subsidiary guarantors to guarantee the Notes will immediately terminate. If any of our future subsidiaries incur obligations under the Credit Facility while the Notes are outstanding, then such subsidiary will be required to guarantee the Notes.</w:t>
      </w:r>
    </w:p>
    <w:p>
      <w:pPr>
        <w:spacing w:after="0" w:line="199" w:lineRule="exact"/>
        <w:rPr>
          <w:sz w:val="20"/>
          <w:szCs w:val="20"/>
          <w:color w:val="auto"/>
        </w:rPr>
      </w:pPr>
    </w:p>
    <w:p>
      <w:pPr>
        <w:ind w:right="200" w:firstLine="623"/>
        <w:spacing w:after="0" w:line="287" w:lineRule="auto"/>
        <w:rPr>
          <w:sz w:val="20"/>
          <w:szCs w:val="20"/>
          <w:color w:val="auto"/>
        </w:rPr>
      </w:pPr>
      <w:r>
        <w:rPr>
          <w:rFonts w:ascii="Times New Roman" w:cs="Times New Roman" w:eastAsia="Times New Roman" w:hAnsi="Times New Roman"/>
          <w:sz w:val="21"/>
          <w:szCs w:val="21"/>
          <w:color w:val="auto"/>
        </w:rPr>
        <w:t>In addition, a subsidiary guarantor will be released and relieved from all its obligations under its subsidiary guarantee in the following circumstances, each of which is permitted by the indenture:</w:t>
      </w:r>
    </w:p>
    <w:p>
      <w:pPr>
        <w:spacing w:after="0" w:line="162" w:lineRule="exact"/>
        <w:rPr>
          <w:sz w:val="20"/>
          <w:szCs w:val="20"/>
          <w:color w:val="auto"/>
        </w:rPr>
      </w:pPr>
    </w:p>
    <w:p>
      <w:pPr>
        <w:ind w:left="620" w:right="200" w:hanging="305"/>
        <w:spacing w:after="0" w:line="269" w:lineRule="auto"/>
        <w:tabs>
          <w:tab w:leader="none" w:pos="61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sale or other disposition (including by way of consolidation or merger), in one transaction or a series of related transactions, of a majority of the total voting stock of such subsidiary guarantor (other than to us or any of our affiliates); or</w:t>
      </w:r>
    </w:p>
    <w:p>
      <w:pPr>
        <w:spacing w:after="0" w:line="1" w:lineRule="exact"/>
        <w:rPr>
          <w:rFonts w:ascii="Times New Roman" w:cs="Times New Roman" w:eastAsia="Times New Roman" w:hAnsi="Times New Roman"/>
          <w:sz w:val="20"/>
          <w:szCs w:val="20"/>
          <w:color w:val="auto"/>
        </w:rPr>
      </w:pPr>
    </w:p>
    <w:p>
      <w:pPr>
        <w:ind w:left="620" w:right="580" w:hanging="305"/>
        <w:spacing w:after="0" w:line="250" w:lineRule="auto"/>
        <w:tabs>
          <w:tab w:leader="none" w:pos="61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sale or disposition of all or substantially all the property of such subsidiary guarantor (other than to any of our affiliates or another subsidiary guarantor);</w:t>
      </w:r>
    </w:p>
    <w:p>
      <w:pPr>
        <w:spacing w:after="0" w:line="200" w:lineRule="exact"/>
        <w:rPr>
          <w:sz w:val="20"/>
          <w:szCs w:val="20"/>
          <w:color w:val="auto"/>
        </w:rPr>
      </w:pPr>
    </w:p>
    <w:p>
      <w:pPr>
        <w:ind w:right="360" w:firstLine="623"/>
        <w:spacing w:after="0" w:line="259" w:lineRule="auto"/>
        <w:rPr>
          <w:sz w:val="20"/>
          <w:szCs w:val="20"/>
          <w:color w:val="auto"/>
        </w:rPr>
      </w:pPr>
      <w:r>
        <w:rPr>
          <w:rFonts w:ascii="Times New Roman" w:cs="Times New Roman" w:eastAsia="Times New Roman" w:hAnsi="Times New Roman"/>
          <w:sz w:val="21"/>
          <w:szCs w:val="21"/>
          <w:color w:val="auto"/>
        </w:rPr>
        <w:t>provided, however, that, in each case, such transaction is permitted by the Credit Facility and after giving effect to such transaction, such subsidiary guarantor is no longer liable for any subsidiary guarantee or other obligations in respect of the Credit Facility. The subsidiary guarantee of a subsidiary guarantor also will be released if we exercise our legal defeasance, covenant defeasance option or discharge the Indenture.</w:t>
      </w:r>
    </w:p>
    <w:p>
      <w:pPr>
        <w:spacing w:after="0" w:line="191"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We conduct our operations almost entirely through our subsidiaries. Accordingly, the Guarantor Group’s cash flow and ability to service any guaranteed registered debt securities will depend on the earnings of our subsidiaries and the distribution of those earnings to the Guarantor Group, including the earnings of the non-guarantor subsidiaries, whether by dividends, loans or otherwise. Holders of the guaranteed registered debt securities will have a direct claim only against the Guarantor Group.</w:t>
      </w:r>
    </w:p>
    <w:p>
      <w:pPr>
        <w:spacing w:after="0" w:line="191" w:lineRule="exact"/>
        <w:rPr>
          <w:sz w:val="20"/>
          <w:szCs w:val="20"/>
          <w:color w:val="auto"/>
        </w:rPr>
      </w:pPr>
    </w:p>
    <w:p>
      <w:pPr>
        <w:ind w:right="40" w:firstLine="623"/>
        <w:spacing w:after="0" w:line="253" w:lineRule="auto"/>
        <w:rPr>
          <w:sz w:val="20"/>
          <w:szCs w:val="20"/>
          <w:color w:val="auto"/>
        </w:rPr>
      </w:pPr>
      <w:r>
        <w:rPr>
          <w:rFonts w:ascii="Times New Roman" w:cs="Times New Roman" w:eastAsia="Times New Roman" w:hAnsi="Times New Roman"/>
          <w:sz w:val="21"/>
          <w:szCs w:val="21"/>
          <w:color w:val="auto"/>
        </w:rPr>
        <w:t>The following tables include summarized financial information for the Guarantor Group (in thousands). The information for the Guarantor Group is presented on a combined basis, excluding intercompany balances and transactions between us and the Guarantor Group and excluding investments in and equity in the earnings of non-guarantor subsidiaries. The Guarantor Group’s amounts due from, amounts due to, and transactions with non-guarantor subsidiaries have been presented in separate line items. The consolidating schedules are provided in accordance with the reporting requirements of Rule 13-01 under SEC Regulation S-X for the issuer and 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6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5"/>
              </w:rPr>
              <w:t>As of</w:t>
            </w:r>
          </w:p>
        </w:tc>
        <w:tc>
          <w:tcPr>
            <w:tcW w:w="2280" w:type="dxa"/>
            <w:vAlign w:val="bottom"/>
          </w:tcPr>
          <w:p>
            <w:pPr>
              <w:jc w:val="right"/>
              <w:ind w:right="825"/>
              <w:spacing w:after="0"/>
              <w:rPr>
                <w:sz w:val="20"/>
                <w:szCs w:val="20"/>
                <w:color w:val="auto"/>
              </w:rPr>
            </w:pPr>
            <w:r>
              <w:rPr>
                <w:rFonts w:ascii="Times New Roman" w:cs="Times New Roman" w:eastAsia="Times New Roman" w:hAnsi="Times New Roman"/>
                <w:sz w:val="19"/>
                <w:szCs w:val="19"/>
                <w:b w:val="1"/>
                <w:bCs w:val="1"/>
                <w:color w:val="auto"/>
              </w:rPr>
              <w:t>As of</w:t>
            </w: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2"/>
                <w:szCs w:val="22"/>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April 30, 2026</w:t>
            </w:r>
          </w:p>
        </w:tc>
        <w:tc>
          <w:tcPr>
            <w:tcW w:w="2280" w:type="dxa"/>
            <w:vAlign w:val="bottom"/>
          </w:tcPr>
          <w:p>
            <w:pPr>
              <w:jc w:val="right"/>
              <w:ind w:right="345"/>
              <w:spacing w:after="0"/>
              <w:rPr>
                <w:sz w:val="20"/>
                <w:szCs w:val="20"/>
                <w:color w:val="auto"/>
              </w:rPr>
            </w:pPr>
            <w:r>
              <w:rPr>
                <w:rFonts w:ascii="Times New Roman" w:cs="Times New Roman" w:eastAsia="Times New Roman" w:hAnsi="Times New Roman"/>
                <w:sz w:val="19"/>
                <w:szCs w:val="19"/>
                <w:b w:val="1"/>
                <w:bCs w:val="1"/>
                <w:color w:val="auto"/>
              </w:rPr>
              <w:t>October 31, 2025</w:t>
            </w:r>
          </w:p>
        </w:tc>
        <w:tc>
          <w:tcPr>
            <w:tcW w:w="0" w:type="dxa"/>
            <w:vAlign w:val="bottom"/>
          </w:tcPr>
          <w:p>
            <w:pPr>
              <w:spacing w:after="0"/>
              <w:rPr>
                <w:sz w:val="1"/>
                <w:szCs w:val="1"/>
                <w:color w:val="auto"/>
              </w:rPr>
            </w:pPr>
          </w:p>
        </w:tc>
      </w:tr>
      <w:tr>
        <w:trPr>
          <w:trHeight w:val="168"/>
        </w:trPr>
        <w:tc>
          <w:tcPr>
            <w:tcW w:w="6560" w:type="dxa"/>
            <w:vAlign w:val="bottom"/>
            <w:tcBorders>
              <w:top w:val="single" w:sz="8" w:color="CCEEFF"/>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9"/>
                <w:szCs w:val="19"/>
                <w:color w:val="auto"/>
              </w:rPr>
              <w:t>Current assets (excluding net intercompany receivable from non-guarantor</w:t>
            </w:r>
          </w:p>
        </w:tc>
        <w:tc>
          <w:tcPr>
            <w:tcW w:w="2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$2,123,657</w:t>
            </w: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$1,927,805</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subsidiaries)</w:t>
            </w:r>
          </w:p>
        </w:tc>
        <w:tc>
          <w:tcPr>
            <w:tcW w:w="2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Noncurrent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5,762,109</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5,280,470</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intercompany receivable from/ (payable to) non-guarantor subsidiaries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261,747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260,672</w:t>
            </w:r>
          </w:p>
        </w:tc>
        <w:tc>
          <w:tcPr>
            <w:tcW w:w="0" w:type="dxa"/>
            <w:vAlign w:val="bottom"/>
          </w:tcPr>
          <w:p>
            <w:pPr>
              <w:spacing w:after="0"/>
              <w:rPr>
                <w:sz w:val="1"/>
                <w:szCs w:val="1"/>
                <w:color w:val="auto"/>
              </w:rPr>
            </w:pPr>
          </w:p>
        </w:tc>
      </w:tr>
      <w:tr>
        <w:trPr>
          <w:trHeight w:val="185"/>
        </w:trPr>
        <w:tc>
          <w:tcPr>
            <w:tcW w:w="6560" w:type="dxa"/>
            <w:vAlign w:val="bottom"/>
          </w:tcPr>
          <w:p>
            <w:pPr>
              <w:ind w:left="20"/>
              <w:spacing w:after="0" w:line="185" w:lineRule="exact"/>
              <w:rPr>
                <w:sz w:val="20"/>
                <w:szCs w:val="20"/>
                <w:color w:val="auto"/>
              </w:rPr>
            </w:pPr>
            <w:r>
              <w:rPr>
                <w:rFonts w:ascii="Times New Roman" w:cs="Times New Roman" w:eastAsia="Times New Roman" w:hAnsi="Times New Roman"/>
                <w:sz w:val="19"/>
                <w:szCs w:val="19"/>
                <w:color w:val="auto"/>
              </w:rPr>
              <w:t>Current liabilities (excluding net intercompany payable to non-guarantor</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803,528</w:t>
            </w:r>
          </w:p>
        </w:tc>
        <w:tc>
          <w:tcPr>
            <w:tcW w:w="12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721,365</w:t>
            </w: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subsidiaries)</w:t>
            </w:r>
          </w:p>
        </w:tc>
        <w:tc>
          <w:tcPr>
            <w:tcW w:w="2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Noncurrent liabilities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3,168,916</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2,751,782</w:t>
            </w: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Redeemable noncontrolling interests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336,344</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337,818</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Noncontrolling interests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72,558</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63,792</w:t>
            </w:r>
          </w:p>
        </w:tc>
        <w:tc>
          <w:tcPr>
            <w:tcW w:w="0" w:type="dxa"/>
            <w:vAlign w:val="bottom"/>
          </w:tcPr>
          <w:p>
            <w:pPr>
              <w:spacing w:after="0"/>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80" w:type="dxa"/>
            <w:vAlign w:val="bottom"/>
          </w:tcPr>
          <w:p>
            <w:pPr>
              <w:spacing w:after="0"/>
              <w:rPr>
                <w:sz w:val="21"/>
                <w:szCs w:val="21"/>
                <w:color w:val="auto"/>
              </w:rPr>
            </w:pPr>
          </w:p>
        </w:tc>
        <w:tc>
          <w:tcPr>
            <w:tcW w:w="2460" w:type="dxa"/>
            <w:vAlign w:val="bottom"/>
          </w:tcPr>
          <w:p>
            <w:pPr>
              <w:jc w:val="right"/>
              <w:ind w:right="425"/>
              <w:spacing w:after="0"/>
              <w:rPr>
                <w:sz w:val="20"/>
                <w:szCs w:val="20"/>
                <w:color w:val="auto"/>
              </w:rPr>
            </w:pPr>
            <w:r>
              <w:rPr>
                <w:rFonts w:ascii="Times New Roman" w:cs="Times New Roman" w:eastAsia="Times New Roman" w:hAnsi="Times New Roman"/>
                <w:sz w:val="19"/>
                <w:szCs w:val="19"/>
                <w:b w:val="1"/>
                <w:bCs w:val="1"/>
                <w:color w:val="auto"/>
              </w:rPr>
              <w:t>Six months ended</w:t>
            </w:r>
          </w:p>
        </w:tc>
      </w:tr>
      <w:tr>
        <w:trPr>
          <w:trHeight w:val="255"/>
        </w:trPr>
        <w:tc>
          <w:tcPr>
            <w:tcW w:w="87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April 30, 2026</w:t>
            </w: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sales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$2,167,061</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Gross profit</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850,380</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income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522,163</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from consolidated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429,763</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 attributable to HEICO</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405,799</w:t>
            </w:r>
          </w:p>
        </w:tc>
      </w:tr>
    </w:tbl>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80" w:type="dxa"/>
            <w:vAlign w:val="bottom"/>
          </w:tcPr>
          <w:p>
            <w:pPr>
              <w:spacing w:after="0"/>
              <w:rPr>
                <w:sz w:val="21"/>
                <w:szCs w:val="21"/>
                <w:color w:val="auto"/>
              </w:rPr>
            </w:pPr>
          </w:p>
        </w:tc>
        <w:tc>
          <w:tcPr>
            <w:tcW w:w="2460" w:type="dxa"/>
            <w:vAlign w:val="bottom"/>
          </w:tcPr>
          <w:p>
            <w:pPr>
              <w:jc w:val="right"/>
              <w:ind w:right="425"/>
              <w:spacing w:after="0"/>
              <w:rPr>
                <w:sz w:val="20"/>
                <w:szCs w:val="20"/>
                <w:color w:val="auto"/>
              </w:rPr>
            </w:pPr>
            <w:r>
              <w:rPr>
                <w:rFonts w:ascii="Times New Roman" w:cs="Times New Roman" w:eastAsia="Times New Roman" w:hAnsi="Times New Roman"/>
                <w:sz w:val="19"/>
                <w:szCs w:val="19"/>
                <w:b w:val="1"/>
                <w:bCs w:val="1"/>
                <w:color w:val="auto"/>
              </w:rPr>
              <w:t>Six months ended</w:t>
            </w:r>
          </w:p>
        </w:tc>
      </w:tr>
      <w:tr>
        <w:trPr>
          <w:trHeight w:val="255"/>
        </w:trPr>
        <w:tc>
          <w:tcPr>
            <w:tcW w:w="87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April 30, 2026</w:t>
            </w: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Intercompany net sales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$7,397</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Intercompany management fee</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1,969</w:t>
            </w:r>
          </w:p>
        </w:tc>
      </w:tr>
      <w:tr>
        <w:trPr>
          <w:trHeight w:val="24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Intercompany interest income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4,566</w:t>
            </w:r>
          </w:p>
        </w:tc>
      </w:tr>
      <w:tr>
        <w:trPr>
          <w:trHeight w:val="250"/>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Intercompany dividends</w:t>
            </w:r>
          </w:p>
        </w:tc>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42,504</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3" w:lineRule="exact"/>
        <w:rPr>
          <w:sz w:val="20"/>
          <w:szCs w:val="20"/>
          <w:color w:val="auto"/>
        </w:rPr>
      </w:pPr>
    </w:p>
    <w:p>
      <w:pPr>
        <w:ind w:firstLine="623"/>
        <w:spacing w:after="0" w:line="251" w:lineRule="auto"/>
        <w:rPr>
          <w:sz w:val="20"/>
          <w:szCs w:val="20"/>
          <w:color w:val="auto"/>
        </w:rPr>
      </w:pPr>
      <w:r>
        <w:rPr>
          <w:rFonts w:ascii="Times New Roman" w:cs="Times New Roman" w:eastAsia="Times New Roman" w:hAnsi="Times New Roman"/>
          <w:sz w:val="21"/>
          <w:szCs w:val="21"/>
          <w:color w:val="auto"/>
        </w:rPr>
        <w:t>Certain statements in this report constitute “forward-looking statements” within the meaning of the Private Securities Litigation Reform Act of 1995. All statements contained herein that are not clearly historical in nature may be forward-looking and the words “anticipate,” “believe,” “expect,” “estimate” and similar expressions are generally intended to identify forward-looking statements. Any forward-looking statement contained herein, in press releases, written statements or other documents filed with the Securities and Exchange Commission or in communications and discussions with investors and analysts in the normal course of business through meetings, phone calls and conference calls, concerning our operations, economic performance and financial condition are subject to risks, uncertainties and contingencies. We have based these forward-looking statements on our current expectations and projections about future events. All forward-looking statements involve risks and uncertainties, many of which are beyond our control, which may cause actual results, performance or achievements to differ materially from anticipated results, performance or achievements. Also, forward-looking statements are based upon management’s estimates of fair values and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1"/>
          <w:szCs w:val="21"/>
          <w:color w:val="auto"/>
        </w:rPr>
        <w:t>costs, using currently available information. Therefore, actual results may differ materially from those expressed in or implied by those forward-looking statements. Factors that could cause such differences include, among others:</w:t>
      </w:r>
    </w:p>
    <w:p>
      <w:pPr>
        <w:spacing w:after="0" w:line="175" w:lineRule="exact"/>
        <w:rPr>
          <w:sz w:val="20"/>
          <w:szCs w:val="20"/>
          <w:color w:val="auto"/>
        </w:rPr>
      </w:pPr>
    </w:p>
    <w:p>
      <w:pPr>
        <w:ind w:left="620" w:hanging="305"/>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severity, magnitude and duration of public health threats;</w:t>
      </w:r>
    </w:p>
    <w:p>
      <w:pPr>
        <w:spacing w:after="0" w:line="251"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liquidity and the amount and timing of cash generation;</w:t>
      </w:r>
    </w:p>
    <w:p>
      <w:pPr>
        <w:spacing w:after="0" w:line="238" w:lineRule="exact"/>
        <w:rPr>
          <w:rFonts w:ascii="Times New Roman" w:cs="Times New Roman" w:eastAsia="Times New Roman" w:hAnsi="Times New Roman"/>
          <w:sz w:val="21"/>
          <w:szCs w:val="21"/>
          <w:color w:val="auto"/>
        </w:rPr>
      </w:pPr>
    </w:p>
    <w:p>
      <w:pPr>
        <w:ind w:left="620" w:right="380" w:hanging="305"/>
        <w:spacing w:after="0" w:line="274" w:lineRule="auto"/>
        <w:tabs>
          <w:tab w:leader="none" w:pos="61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Lower commercial air travel, airline fleet changes or airline purchasing decisions, which could cause lower demand for our goods and services;</w:t>
      </w:r>
    </w:p>
    <w:p>
      <w:pPr>
        <w:spacing w:after="0" w:line="175"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specification costs and requirements, which could cause an increase to our costs to complete contracts;</w:t>
      </w:r>
    </w:p>
    <w:p>
      <w:pPr>
        <w:spacing w:after="0" w:line="238" w:lineRule="exact"/>
        <w:rPr>
          <w:rFonts w:ascii="Times New Roman" w:cs="Times New Roman" w:eastAsia="Times New Roman" w:hAnsi="Times New Roman"/>
          <w:sz w:val="21"/>
          <w:szCs w:val="21"/>
          <w:color w:val="auto"/>
        </w:rPr>
      </w:pPr>
    </w:p>
    <w:p>
      <w:pPr>
        <w:ind w:left="620" w:right="260" w:hanging="305"/>
        <w:spacing w:after="0" w:line="313" w:lineRule="auto"/>
        <w:tabs>
          <w:tab w:leader="none" w:pos="61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and regulatory demands, export policies and restrictions, reductions in defense, space or homeland security spending by U.S. and/or foreign customers or competition from existing and new competitors, which could reduce our sales;</w:t>
      </w:r>
    </w:p>
    <w:p>
      <w:pPr>
        <w:spacing w:after="0" w:line="139" w:lineRule="exact"/>
        <w:rPr>
          <w:rFonts w:ascii="Times New Roman" w:cs="Times New Roman" w:eastAsia="Times New Roman" w:hAnsi="Times New Roman"/>
          <w:sz w:val="20"/>
          <w:szCs w:val="20"/>
          <w:color w:val="auto"/>
        </w:rPr>
      </w:pPr>
    </w:p>
    <w:p>
      <w:pPr>
        <w:ind w:left="620" w:hanging="305"/>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introduce new products and services at profitable pricing levels, which could reduce our sales or sales growth;</w:t>
      </w:r>
    </w:p>
    <w:p>
      <w:pPr>
        <w:spacing w:after="0" w:line="238" w:lineRule="exact"/>
        <w:rPr>
          <w:rFonts w:ascii="Times New Roman" w:cs="Times New Roman" w:eastAsia="Times New Roman" w:hAnsi="Times New Roman"/>
          <w:sz w:val="21"/>
          <w:szCs w:val="21"/>
          <w:color w:val="auto"/>
        </w:rPr>
      </w:pPr>
    </w:p>
    <w:p>
      <w:pPr>
        <w:ind w:left="620" w:right="340" w:hanging="305"/>
        <w:spacing w:after="0" w:line="274" w:lineRule="auto"/>
        <w:tabs>
          <w:tab w:leader="none" w:pos="61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development or manufacturing difficulties, which could increase our product development and manufacturing costs and delay sales;</w:t>
      </w:r>
    </w:p>
    <w:p>
      <w:pPr>
        <w:spacing w:after="0" w:line="175"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events or other disruptions of our information technology systems could adversely affect our business; and</w:t>
      </w:r>
    </w:p>
    <w:p>
      <w:pPr>
        <w:spacing w:after="0" w:line="238" w:lineRule="exact"/>
        <w:rPr>
          <w:rFonts w:ascii="Times New Roman" w:cs="Times New Roman" w:eastAsia="Times New Roman" w:hAnsi="Times New Roman"/>
          <w:sz w:val="21"/>
          <w:szCs w:val="21"/>
          <w:color w:val="auto"/>
        </w:rPr>
      </w:pPr>
    </w:p>
    <w:p>
      <w:pPr>
        <w:ind w:left="620" w:right="40" w:hanging="305"/>
        <w:spacing w:after="0" w:line="259" w:lineRule="auto"/>
        <w:tabs>
          <w:tab w:leader="none" w:pos="61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p>
      <w:pPr>
        <w:spacing w:after="0" w:line="191"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21"/>
          <w:szCs w:val="21"/>
          <w:color w:val="auto"/>
        </w:rPr>
        <w:t>For further information on these and other factors that potentially could materially affect our financial results, see Item 1A, "Risk Factors," of our Annual Report on Form 10-K for the year ended October 31, 2025. We undertake no obligation to publicly update or revise any forward-looking statement, whether as a result of new information, future events or otherwise,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43" w:lineRule="exact"/>
        <w:rPr>
          <w:sz w:val="20"/>
          <w:szCs w:val="20"/>
          <w:color w:val="auto"/>
        </w:rPr>
      </w:pPr>
    </w:p>
    <w:p>
      <w:pPr>
        <w:jc w:val="both"/>
        <w:ind w:right="220" w:firstLine="623"/>
        <w:spacing w:after="0" w:line="266" w:lineRule="auto"/>
        <w:rPr>
          <w:sz w:val="20"/>
          <w:szCs w:val="20"/>
          <w:color w:val="auto"/>
        </w:rPr>
      </w:pPr>
      <w:r>
        <w:rPr>
          <w:rFonts w:ascii="Times New Roman" w:cs="Times New Roman" w:eastAsia="Times New Roman" w:hAnsi="Times New Roman"/>
          <w:sz w:val="21"/>
          <w:szCs w:val="21"/>
          <w:color w:val="auto"/>
        </w:rPr>
        <w:t>There have not been any material changes in our assessment of HEICO’s sensitivity to market risk that was disclosed in Item 7A, “Quantitative and Qualitative Disclosures About Market Risk,” in our Annual Report on Form 10-K for the year ended October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Evaluation of Disclosure Controls and Procedures</w:t>
      </w:r>
    </w:p>
    <w:p>
      <w:pPr>
        <w:spacing w:after="0" w:line="243" w:lineRule="exact"/>
        <w:rPr>
          <w:sz w:val="20"/>
          <w:szCs w:val="20"/>
          <w:color w:val="auto"/>
        </w:rPr>
      </w:pPr>
    </w:p>
    <w:p>
      <w:pPr>
        <w:ind w:right="180" w:firstLine="623"/>
        <w:spacing w:after="0" w:line="255" w:lineRule="auto"/>
        <w:rPr>
          <w:sz w:val="20"/>
          <w:szCs w:val="20"/>
          <w:color w:val="auto"/>
        </w:rPr>
      </w:pPr>
      <w:r>
        <w:rPr>
          <w:rFonts w:ascii="Times New Roman" w:cs="Times New Roman" w:eastAsia="Times New Roman" w:hAnsi="Times New Roman"/>
          <w:sz w:val="21"/>
          <w:szCs w:val="21"/>
          <w:color w:val="auto"/>
        </w:rPr>
        <w:t>Our management, with the participation of our Co-Chief Executive Officers and our Chief Financial Officer, evaluated the effectiveness of our disclosure controls and procedures (as defined in Exchange Act Rules 13a-15(e) and 15d-15(e)) as of the end of the period covered by this quarterly report. Based upon that evaluation, our Co-Chief Executive Officers and our Chief Financial Officer concluded that HEICO’s disclosure controls and procedures are effective as of the end of the period covered by this quarterly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Changes in Internal Control Over Financial Reporting</w:t>
      </w:r>
    </w:p>
    <w:p>
      <w:pPr>
        <w:spacing w:after="0" w:line="243"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There have been no changes in our internal control over financial reporting during the second quarter ended April 30, 2026 that have materially affected, or are reasonably likely to materially affect, HEICO's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PROCEEDS</w:t>
      </w:r>
    </w:p>
    <w:p>
      <w:pPr>
        <w:spacing w:after="0" w:line="228" w:lineRule="exact"/>
        <w:rPr>
          <w:sz w:val="20"/>
          <w:szCs w:val="20"/>
          <w:color w:val="auto"/>
        </w:rPr>
      </w:pPr>
    </w:p>
    <w:p>
      <w:pPr>
        <w:ind w:firstLine="623"/>
        <w:spacing w:after="0" w:line="268" w:lineRule="auto"/>
        <w:rPr>
          <w:sz w:val="20"/>
          <w:szCs w:val="20"/>
          <w:color w:val="auto"/>
        </w:rPr>
      </w:pPr>
      <w:r>
        <w:rPr>
          <w:rFonts w:ascii="Times New Roman" w:cs="Times New Roman" w:eastAsia="Times New Roman" w:hAnsi="Times New Roman"/>
          <w:sz w:val="20"/>
          <w:szCs w:val="20"/>
          <w:color w:val="auto"/>
        </w:rPr>
        <w:t>On February 4, 2026, we acquired 100% of the membership interests of EthosEnergy Accessories and Components, LLC and 100% of the stock of EthosEnergy Accessories and Components, Limited (collectively, “Ethos”). The purchase price of this acquisition was paid in cash using proceeds from the Company's revolving credit facility and through the issuance of 95,483 shares of HEICO Class A Common Stock. The HEICO Class A Common Stock issued in connection with the acquisition of Ethos was not registered under the Securities Act of 1933, in accordance with Section 4(a)(2) thereunder, as a transaction by an issuer not involving any public offering. See Note 2, Acquisitions, of the Notes to Condensed Consolidated Financial Statements for additional information.</w:t>
      </w:r>
    </w:p>
    <w:p>
      <w:pPr>
        <w:spacing w:after="0" w:line="185" w:lineRule="exact"/>
        <w:rPr>
          <w:sz w:val="20"/>
          <w:szCs w:val="20"/>
          <w:color w:val="auto"/>
        </w:rPr>
      </w:pPr>
    </w:p>
    <w:p>
      <w:pPr>
        <w:ind w:firstLine="623"/>
        <w:spacing w:after="0" w:line="253" w:lineRule="auto"/>
        <w:rPr>
          <w:sz w:val="20"/>
          <w:szCs w:val="20"/>
          <w:color w:val="auto"/>
        </w:rPr>
      </w:pPr>
      <w:r>
        <w:rPr>
          <w:rFonts w:ascii="Times New Roman" w:cs="Times New Roman" w:eastAsia="Times New Roman" w:hAnsi="Times New Roman"/>
          <w:sz w:val="21"/>
          <w:szCs w:val="21"/>
          <w:color w:val="auto"/>
        </w:rPr>
        <w:t>On April 6, 2026, we acquired 80% of the stock of Sherwood Avionics and Accessories, Inc. ("Sherwood"). The purchase price of this acquisition was paid in cash using proceeds from the Company's revolving credit facility and through the issuance of 86,474 shares of HEICO Class A Common Stock. The HEICO Class A Common Stock issued in connection with the acquisition of Sherwood was not registered under the Securities Act of 1933, in accordance with Section 4(a)(2) and Rule 506(b) of Regulation D thereunder, as a transaction by an issuer not involving any public offering. See Note 2, Acquisitions, of the Notes to Condensed Consolidated Financial Statements for additional information.</w:t>
      </w:r>
    </w:p>
    <w:p>
      <w:pPr>
        <w:spacing w:after="0" w:line="1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OTHER EVENTS</w:t>
      </w:r>
    </w:p>
    <w:p>
      <w:pPr>
        <w:spacing w:after="0" w:line="243"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None of our directors or officers adopted, modified or terminated a “Rule 10b5-1 trading arrangement” or “non-Rule 10b5-1 trading arrangement,” as each term is defined in Item 408(a) of Regulation S-K, during the second quarter ended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EXHIBITS</w:t>
      </w:r>
    </w:p>
    <w:p>
      <w:pPr>
        <w:spacing w:after="0" w:line="356"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21"/>
          <w:szCs w:val="21"/>
          <w:b w:val="1"/>
          <w:bCs w:val="1"/>
          <w:u w:val="single" w:color="auto"/>
          <w:color w:val="auto"/>
        </w:rPr>
        <w:t>Exhibit</w:t>
      </w:r>
      <w:r>
        <w:rPr>
          <w:sz w:val="20"/>
          <w:szCs w:val="20"/>
          <w:color w:val="auto"/>
        </w:rPr>
        <w:tab/>
      </w:r>
      <w:r>
        <w:rPr>
          <w:rFonts w:ascii="Times New Roman" w:cs="Times New Roman" w:eastAsia="Times New Roman" w:hAnsi="Times New Roman"/>
          <w:sz w:val="21"/>
          <w:szCs w:val="21"/>
          <w:b w:val="1"/>
          <w:bCs w:val="1"/>
          <w:u w:val="single" w:color="auto"/>
          <w:color w:val="auto"/>
        </w:rPr>
        <w:t>Description</w:t>
      </w:r>
    </w:p>
    <w:p>
      <w:pPr>
        <w:spacing w:after="0" w:line="74" w:lineRule="exact"/>
        <w:rPr>
          <w:sz w:val="20"/>
          <w:szCs w:val="20"/>
          <w:color w:val="auto"/>
        </w:rPr>
      </w:pPr>
    </w:p>
    <w:p>
      <w:pPr>
        <w:ind w:left="1320" w:hanging="1286"/>
        <w:spacing w:after="0"/>
        <w:tabs>
          <w:tab w:leader="none" w:pos="13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Subsidiary Guarantors and Issuers of Guaranteed Securities.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31.1</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 xml:space="preserve">Rule 13a-14(a)/15d-14(a) Certification of Co-Chief Executive Officer. </w:t>
            </w:r>
            <w:r>
              <w:rPr>
                <w:rFonts w:ascii="Times New Roman" w:cs="Times New Roman" w:eastAsia="Times New Roman" w:hAnsi="Times New Roman"/>
                <w:sz w:val="21"/>
                <w:szCs w:val="21"/>
                <w:color w:val="000000"/>
              </w:rPr>
              <w:t>*</w:t>
            </w:r>
          </w:p>
        </w:tc>
      </w:tr>
      <w:tr>
        <w:trPr>
          <w:trHeight w:val="20"/>
        </w:trPr>
        <w:tc>
          <w:tcPr>
            <w:tcW w:w="128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31.2</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 xml:space="preserve">Rule 13a-14(a)/15d-14(a) Certification of Co-Chief Executive Officer. </w:t>
            </w:r>
            <w:r>
              <w:rPr>
                <w:rFonts w:ascii="Times New Roman" w:cs="Times New Roman" w:eastAsia="Times New Roman" w:hAnsi="Times New Roman"/>
                <w:sz w:val="21"/>
                <w:szCs w:val="21"/>
                <w:color w:val="000000"/>
              </w:rPr>
              <w:t>*</w:t>
            </w: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31.3</w:t>
            </w:r>
          </w:p>
        </w:tc>
        <w:tc>
          <w:tcPr>
            <w:tcW w:w="5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rPr>
              <w:t xml:space="preserve">Rule 13a-14(a)/15d-14(a) Certification of Chief Financial Officer. </w:t>
            </w:r>
            <w:r>
              <w:rPr>
                <w:rFonts w:ascii="Times New Roman" w:cs="Times New Roman" w:eastAsia="Times New Roman" w:hAnsi="Times New Roman"/>
                <w:sz w:val="21"/>
                <w:szCs w:val="21"/>
                <w:color w:val="000000"/>
              </w:rPr>
              <w:t>*</w:t>
            </w:r>
          </w:p>
        </w:tc>
        <w:tc>
          <w:tcPr>
            <w:tcW w:w="3580" w:type="dxa"/>
            <w:vAlign w:val="bottom"/>
          </w:tcPr>
          <w:p>
            <w:pPr>
              <w:spacing w:after="0"/>
              <w:rPr>
                <w:sz w:val="24"/>
                <w:szCs w:val="24"/>
                <w:color w:val="auto"/>
              </w:rPr>
            </w:pP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32.1</w:t>
            </w:r>
          </w:p>
        </w:tc>
        <w:tc>
          <w:tcPr>
            <w:tcW w:w="5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rPr>
              <w:t xml:space="preserve">Section 1350 Certification of Co-Chief Executive Officer. </w:t>
            </w:r>
            <w:r>
              <w:rPr>
                <w:rFonts w:ascii="Times New Roman" w:cs="Times New Roman" w:eastAsia="Times New Roman" w:hAnsi="Times New Roman"/>
                <w:sz w:val="21"/>
                <w:szCs w:val="21"/>
                <w:color w:val="000000"/>
              </w:rPr>
              <w:t>**</w:t>
            </w:r>
          </w:p>
        </w:tc>
        <w:tc>
          <w:tcPr>
            <w:tcW w:w="3960" w:type="dxa"/>
            <w:vAlign w:val="bottom"/>
            <w:gridSpan w:val="2"/>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 xml:space="preserve">Section 1350 Certification of Co-Chief Executive Officer. </w:t>
            </w:r>
            <w:r>
              <w:rPr>
                <w:rFonts w:ascii="Times New Roman" w:cs="Times New Roman" w:eastAsia="Times New Roman" w:hAnsi="Times New Roman"/>
                <w:sz w:val="21"/>
                <w:szCs w:val="21"/>
                <w:color w:val="000000"/>
              </w:rPr>
              <w:t>**</w:t>
            </w: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32.3</w:t>
            </w:r>
          </w:p>
        </w:tc>
        <w:tc>
          <w:tcPr>
            <w:tcW w:w="48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rPr>
              <w:t xml:space="preserve">Section 1350 Certification of Chief Financial Officer. </w:t>
            </w:r>
            <w:r>
              <w:rPr>
                <w:rFonts w:ascii="Times New Roman" w:cs="Times New Roman" w:eastAsia="Times New Roman" w:hAnsi="Times New Roman"/>
                <w:sz w:val="21"/>
                <w:szCs w:val="21"/>
                <w:color w:val="000000"/>
              </w:rPr>
              <w:t>**</w:t>
            </w:r>
          </w:p>
        </w:tc>
        <w:tc>
          <w:tcPr>
            <w:tcW w:w="4600" w:type="dxa"/>
            <w:vAlign w:val="bottom"/>
            <w:gridSpan w:val="3"/>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r>
      <w:tr>
        <w:trPr>
          <w:trHeight w:val="279"/>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w w:val="98"/>
              </w:rPr>
              <w:t>Inline XBRL Instance Document - The instance document does not appear in the Interactive Data File because its</w:t>
            </w:r>
          </w:p>
        </w:tc>
      </w:tr>
      <w:tr>
        <w:trPr>
          <w:trHeight w:val="271"/>
        </w:trPr>
        <w:tc>
          <w:tcPr>
            <w:tcW w:w="1280" w:type="dxa"/>
            <w:vAlign w:val="bottom"/>
          </w:tcPr>
          <w:p>
            <w:pPr>
              <w:spacing w:after="0"/>
              <w:rPr>
                <w:sz w:val="23"/>
                <w:szCs w:val="23"/>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XBRL tags are embedded within the Inline XBRL Document. *</w:t>
            </w:r>
          </w:p>
        </w:tc>
      </w:tr>
      <w:tr>
        <w:trPr>
          <w:trHeight w:val="310"/>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Schema Document. *</w:t>
            </w:r>
          </w:p>
        </w:tc>
      </w:tr>
      <w:tr>
        <w:trPr>
          <w:trHeight w:val="31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101.CAL</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Calculation Linkbase Document. *</w:t>
            </w:r>
          </w:p>
        </w:tc>
      </w:tr>
      <w:tr>
        <w:trPr>
          <w:trHeight w:val="31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101.DEF</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Definition Linkbase Document. *</w:t>
            </w:r>
          </w:p>
        </w:tc>
      </w:tr>
      <w:tr>
        <w:trPr>
          <w:trHeight w:val="31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101.LAB</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Labels Linkbase Document. *</w:t>
            </w:r>
          </w:p>
        </w:tc>
      </w:tr>
      <w:tr>
        <w:trPr>
          <w:trHeight w:val="312"/>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101.PRE</w:t>
            </w:r>
          </w:p>
        </w:tc>
        <w:tc>
          <w:tcPr>
            <w:tcW w:w="9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Presentation Linkbase Document. *</w:t>
            </w:r>
          </w:p>
        </w:tc>
      </w:tr>
    </w:tbl>
    <w:p>
      <w:pPr>
        <w:spacing w:after="0" w:line="40" w:lineRule="exact"/>
        <w:rPr>
          <w:sz w:val="20"/>
          <w:szCs w:val="20"/>
          <w:color w:val="auto"/>
        </w:rPr>
      </w:pPr>
    </w:p>
    <w:p>
      <w:pPr>
        <w:ind w:left="1320" w:hanging="1286"/>
        <w:spacing w:after="0"/>
        <w:tabs>
          <w:tab w:leader="none" w:pos="132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 Page Interactive Data File (formatted as inline XBRL and contained in Exhibit 101). *</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1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Filed herewith.</w:t>
      </w:r>
    </w:p>
    <w:p>
      <w:pPr>
        <w:spacing w:after="0" w:line="29" w:lineRule="exact"/>
        <w:rPr>
          <w:rFonts w:ascii="Times New Roman" w:cs="Times New Roman" w:eastAsia="Times New Roman" w:hAnsi="Times New Roman"/>
          <w:sz w:val="21"/>
          <w:szCs w:val="21"/>
          <w:color w:val="auto"/>
        </w:rPr>
      </w:pPr>
    </w:p>
    <w:p>
      <w:pPr>
        <w:ind w:left="420" w:hanging="416"/>
        <w:spacing w:after="0"/>
        <w:tabs>
          <w:tab w:leader="none" w:pos="4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-661670</wp:posOffset>
            </wp:positionV>
            <wp:extent cx="8159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3"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1"/>
          <w:szCs w:val="21"/>
          <w:color w:val="auto"/>
        </w:rPr>
        <w:t>HEICO CORPORATION</w:t>
      </w:r>
    </w:p>
    <w:p>
      <w:pPr>
        <w:spacing w:after="0" w:line="174" w:lineRule="exact"/>
        <w:rPr>
          <w:sz w:val="20"/>
          <w:szCs w:val="20"/>
          <w:color w:val="auto"/>
        </w:rPr>
      </w:pPr>
    </w:p>
    <w:p>
      <w:pPr>
        <w:ind w:left="320"/>
        <w:spacing w:after="0"/>
        <w:tabs>
          <w:tab w:leader="none" w:pos="6540" w:val="left"/>
          <w:tab w:leader="none" w:pos="7120" w:val="left"/>
        </w:tabs>
        <w:rPr>
          <w:sz w:val="20"/>
          <w:szCs w:val="20"/>
          <w:color w:val="auto"/>
        </w:rPr>
      </w:pPr>
      <w:r>
        <w:rPr>
          <w:rFonts w:ascii="Times New Roman" w:cs="Times New Roman" w:eastAsia="Times New Roman" w:hAnsi="Times New Roman"/>
          <w:sz w:val="21"/>
          <w:szCs w:val="21"/>
          <w:color w:val="auto"/>
        </w:rPr>
        <w:t>Date: May 29, 2026</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CARLOS L. MACAU, JR.</w:t>
      </w:r>
    </w:p>
    <w:p>
      <w:pPr>
        <w:spacing w:after="0" w:line="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Carlos L. Macau, Jr.</w:t>
      </w:r>
    </w:p>
    <w:p>
      <w:pPr>
        <w:ind w:left="7140"/>
        <w:spacing w:after="0" w:line="206" w:lineRule="auto"/>
        <w:rPr>
          <w:sz w:val="20"/>
          <w:szCs w:val="20"/>
          <w:color w:val="auto"/>
        </w:rPr>
      </w:pPr>
      <w:r>
        <w:rPr>
          <w:rFonts w:ascii="Times New Roman" w:cs="Times New Roman" w:eastAsia="Times New Roman" w:hAnsi="Times New Roman"/>
          <w:sz w:val="21"/>
          <w:szCs w:val="21"/>
          <w:color w:val="auto"/>
        </w:rPr>
        <w:t>Executive Vice President - Chief Financial</w:t>
      </w:r>
    </w:p>
    <w:p>
      <w:pPr>
        <w:ind w:left="7140"/>
        <w:spacing w:after="0" w:line="206" w:lineRule="auto"/>
        <w:rPr>
          <w:sz w:val="20"/>
          <w:szCs w:val="20"/>
          <w:color w:val="auto"/>
        </w:rPr>
      </w:pPr>
      <w:r>
        <w:rPr>
          <w:rFonts w:ascii="Times New Roman" w:cs="Times New Roman" w:eastAsia="Times New Roman" w:hAnsi="Times New Roman"/>
          <w:sz w:val="21"/>
          <w:szCs w:val="21"/>
          <w:color w:val="auto"/>
        </w:rPr>
        <w:t>Officer and Treasurer</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(Principal Financial Officer)</w:t>
      </w:r>
    </w:p>
    <w:p>
      <w:pPr>
        <w:spacing w:after="0" w:line="150"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BRADLEY K. ROWEN</w:t>
      </w:r>
    </w:p>
    <w:p>
      <w:pPr>
        <w:spacing w:after="0" w:line="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Bradley K. Rowen</w:t>
      </w:r>
    </w:p>
    <w:p>
      <w:pPr>
        <w:ind w:left="7140"/>
        <w:spacing w:after="0" w:line="206" w:lineRule="auto"/>
        <w:rPr>
          <w:sz w:val="20"/>
          <w:szCs w:val="20"/>
          <w:color w:val="auto"/>
        </w:rPr>
      </w:pPr>
      <w:r>
        <w:rPr>
          <w:rFonts w:ascii="Times New Roman" w:cs="Times New Roman" w:eastAsia="Times New Roman" w:hAnsi="Times New Roman"/>
          <w:sz w:val="21"/>
          <w:szCs w:val="21"/>
          <w:color w:val="auto"/>
        </w:rPr>
        <w:t>Chief Accounting Officer</w:t>
      </w:r>
    </w:p>
    <w:p>
      <w:pPr>
        <w:ind w:left="7140"/>
        <w:spacing w:after="0" w:line="206" w:lineRule="auto"/>
        <w:rPr>
          <w:sz w:val="20"/>
          <w:szCs w:val="20"/>
          <w:color w:val="auto"/>
        </w:rPr>
      </w:pPr>
      <w:r>
        <w:rPr>
          <w:rFonts w:ascii="Times New Roman" w:cs="Times New Roman" w:eastAsia="Times New Roman" w:hAnsi="Times New Roman"/>
          <w:sz w:val="21"/>
          <w:szCs w:val="21"/>
          <w:color w:val="auto"/>
        </w:rPr>
        <w:t>and Assistant Treasurer</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180"/>
          </w:cols>
          <w:pgMar w:left="320" w:top="121" w:right="3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1"/>
          <w:szCs w:val="21"/>
          <w:color w:val="auto"/>
        </w:rPr>
        <w:t>Exhibit 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GUARANTOR SUBSIDIARIES OF HEICO CORPORATION</w:t>
      </w:r>
    </w:p>
    <w:p>
      <w:pPr>
        <w:spacing w:after="0" w:line="230" w:lineRule="exact"/>
        <w:rPr>
          <w:sz w:val="20"/>
          <w:szCs w:val="20"/>
          <w:color w:val="auto"/>
        </w:rPr>
      </w:pPr>
    </w:p>
    <w:p>
      <w:pPr>
        <w:ind w:right="240" w:firstLine="623"/>
        <w:spacing w:after="0" w:line="261" w:lineRule="auto"/>
        <w:rPr>
          <w:sz w:val="20"/>
          <w:szCs w:val="20"/>
          <w:color w:val="auto"/>
        </w:rPr>
      </w:pPr>
      <w:r>
        <w:rPr>
          <w:rFonts w:ascii="Times New Roman" w:cs="Times New Roman" w:eastAsia="Times New Roman" w:hAnsi="Times New Roman"/>
          <w:sz w:val="21"/>
          <w:szCs w:val="21"/>
          <w:color w:val="auto"/>
        </w:rPr>
        <w:t>As of May 27, 2026, the following subsidiaries of HEICO Corporation are guarantors of the Company’s 5.25% Senior Notes due 2028 and 5.35% Senior Notes due 2033:</w:t>
      </w:r>
    </w:p>
    <w:p>
      <w:pPr>
        <w:sectPr>
          <w:pgSz w:w="11900" w:h="16838" w:orient="portrait"/>
          <w:cols w:equalWidth="0" w:num="1">
            <w:col w:w="11240"/>
          </w:cols>
          <w:pgMar w:left="320" w:top="1060"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Name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16-1741 Property,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26 Ward Hill Property,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 McCrea Property Company,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34 Freedom Court, Corp.</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3D Plus U.S.A.,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60 Sequin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8929 Fullbright Property,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Absolute Aviation Services,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Accessory Technologies Corporation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Accurate Metal Machining,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Action Research Corporation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Aero-Glen International,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AeroAntenna Technology,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AeroDesign,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AeroELT, LLC</w:t>
      </w:r>
    </w:p>
    <w:p>
      <w:pPr>
        <w:spacing w:after="0" w:line="18" w:lineRule="exact"/>
        <w:rPr>
          <w:sz w:val="20"/>
          <w:szCs w:val="20"/>
          <w:color w:val="auto"/>
        </w:rPr>
      </w:pPr>
    </w:p>
    <w:p>
      <w:pPr>
        <w:ind w:left="20" w:right="1080"/>
        <w:spacing w:after="0" w:line="257" w:lineRule="auto"/>
        <w:rPr>
          <w:sz w:val="20"/>
          <w:szCs w:val="20"/>
          <w:color w:val="auto"/>
        </w:rPr>
      </w:pPr>
      <w:r>
        <w:rPr>
          <w:rFonts w:ascii="Times New Roman" w:cs="Times New Roman" w:eastAsia="Times New Roman" w:hAnsi="Times New Roman"/>
          <w:sz w:val="21"/>
          <w:szCs w:val="21"/>
          <w:color w:val="auto"/>
        </w:rPr>
        <w:t>Aerospace &amp; Commercial Technologies, LLC Aerospace Coatings International, LLC Air Cost Control US, LLC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Aircraft Technology,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Analog Modules,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Apex Holding Corp.</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Apex Microtechnology,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ASC International,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Astro Property, LLC</w:t>
      </w:r>
    </w:p>
    <w:p>
      <w:pPr>
        <w:spacing w:after="0" w:line="18" w:lineRule="exact"/>
        <w:rPr>
          <w:sz w:val="20"/>
          <w:szCs w:val="20"/>
          <w:color w:val="auto"/>
        </w:rPr>
      </w:pPr>
    </w:p>
    <w:p>
      <w:pPr>
        <w:ind w:left="20" w:right="1820"/>
        <w:spacing w:after="0" w:line="257" w:lineRule="auto"/>
        <w:rPr>
          <w:sz w:val="20"/>
          <w:szCs w:val="20"/>
          <w:color w:val="auto"/>
        </w:rPr>
      </w:pPr>
      <w:r>
        <w:rPr>
          <w:rFonts w:ascii="Times New Roman" w:cs="Times New Roman" w:eastAsia="Times New Roman" w:hAnsi="Times New Roman"/>
          <w:sz w:val="21"/>
          <w:szCs w:val="21"/>
          <w:color w:val="auto"/>
        </w:rPr>
        <w:t>Astroseal Products Mfg. Corporation Aviatron, Inc.</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Bay Equipment Corp.</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Bernier Connect USA,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Blue Aerospace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Camtronics,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Capewell Aerial Systems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Capewell Property,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Carbon by Design Corporation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Carbon by Design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Charter Engineering,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Connectronics Corp.</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Name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Conxall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CSI Aerospace,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dB Control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Decavo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Dielectric Sciences,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Dixie Aerospace,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Dukane Seacom,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Engineering Design Team,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EthosEnergy Accessories and Components,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Fortner Eng. &amp; Mfg.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Future Aviation,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Gables Engineering,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Harter Aerospace,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Aerospace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Aerospace Holdings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Aerospace Parts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East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Electronic Technologies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Flight Support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Parts Group,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Repair Group Aerostructures,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HEICO Repair,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II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III,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IV,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VIII,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HETC IX,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III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IV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VI,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VII,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VIII,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HFSC XI Corp.</w:t>
      </w:r>
    </w:p>
    <w:p>
      <w:pPr>
        <w:sectPr>
          <w:pgSz w:w="11900" w:h="16838" w:orient="portrait"/>
          <w:cols w:equalWidth="0" w:num="2">
            <w:col w:w="4920" w:space="720"/>
            <w:col w:w="5600"/>
          </w:cols>
          <w:pgMar w:left="320" w:top="1060"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5"/>
              </w:rPr>
              <w:t>Name</w:t>
            </w:r>
          </w:p>
        </w:tc>
        <w:tc>
          <w:tcPr>
            <w:tcW w:w="3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Name</w:t>
            </w:r>
          </w:p>
        </w:tc>
      </w:tr>
      <w:tr>
        <w:trPr>
          <w:trHeight w:val="20"/>
        </w:trPr>
        <w:tc>
          <w:tcPr>
            <w:tcW w:w="5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77"/>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HFSC XII,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Reinhold Industries,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HFSC XIII,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Research Electronics International,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HNW2 Building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Ridge Engineering,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HNW Building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Ridge HoldCo,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HVT Group,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Robertson Fuel Systems,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ICS Aero,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Rockmart Fuel Containment,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Inertial Airline Services,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Rockmart Holdco,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Intelligent Devices,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Rocky Mountain Hydrostatics,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IRCameras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Rosen Aviation,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Ironwood Electronics,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Santa Barbara Infrared,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Jet Avion Corporation</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Seal Dynamics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Jetseal,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Seal Q Corp.</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Kitco,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Sensor Systems,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Leader Tech,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Sensor Technology Engineering,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LLP Enterprises,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Sierra Microwave Technology,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LPI Industries Corporation</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Silver Wings Aerospace,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Lucix Corporation</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Solid Sealing Technology,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Lumina Power,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Soundair Repair Group,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Marway Power Systems,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Specialty Silicone Products,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McClain International,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Sunshine Avionics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Mid Continent Controls,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Switchcraft Holdco,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Midwest Microwave Solutions,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Switchcraft,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Millennium International,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The Bechdon Company,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Niacc-Avitech Technologies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Thermal Energy Products,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Northwings Accessories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Thermal Structures,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Optical Display Engineering,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Trad Tests &amp; Radiations,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Paciwave,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Transformational Security,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PHS / MWA</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TSID Holdings,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Pioneer Industries,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TTT-Cubed,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Prime Air,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Turbine Kinetics,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Pyramid Semiconductor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Acquisition, Inc.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Quell Corporation</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w w:val="98"/>
              </w:rPr>
              <w:t>Wencor Defense Intermediate Holdco,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R.H. Laboratories,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Defense,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Radiant Power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Group,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Radiant Power IDC, LLC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Investment I,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Radiant-Seacom Repairs Corp.</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MRO, LLC</w:t>
            </w:r>
          </w:p>
        </w:tc>
      </w:tr>
      <w:tr>
        <w:trPr>
          <w:trHeight w:val="260"/>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Ramona Research,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Parent, Inc.</w:t>
            </w:r>
          </w:p>
        </w:tc>
      </w:tr>
      <w:tr>
        <w:trPr>
          <w:trHeight w:val="271"/>
        </w:trPr>
        <w:tc>
          <w:tcPr>
            <w:tcW w:w="4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Reinhold Holdings, Inc.</w:t>
            </w:r>
          </w:p>
        </w:tc>
        <w:tc>
          <w:tcPr>
            <w:tcW w:w="4960" w:type="dxa"/>
            <w:vAlign w:val="bottom"/>
            <w:gridSpan w:val="3"/>
          </w:tcPr>
          <w:p>
            <w:pPr>
              <w:ind w:left="1320"/>
              <w:spacing w:after="0"/>
              <w:rPr>
                <w:sz w:val="20"/>
                <w:szCs w:val="20"/>
                <w:color w:val="auto"/>
              </w:rPr>
            </w:pPr>
            <w:r>
              <w:rPr>
                <w:rFonts w:ascii="Times New Roman" w:cs="Times New Roman" w:eastAsia="Times New Roman" w:hAnsi="Times New Roman"/>
                <w:sz w:val="21"/>
                <w:szCs w:val="21"/>
                <w:color w:val="auto"/>
              </w:rPr>
              <w:t>Wencor, LLC</w:t>
            </w:r>
          </w:p>
        </w:tc>
      </w:tr>
    </w:tbl>
    <w:p>
      <w:pPr>
        <w:sectPr>
          <w:pgSz w:w="11900" w:h="16838" w:orient="portrait"/>
          <w:cols w:equalWidth="0" w:num="1">
            <w:col w:w="10119"/>
          </w:cols>
          <w:pgMar w:left="340" w:top="106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13a-14(a)/15d-14(a) CERTIFICATION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A. Mendelson, certify that:</w:t>
      </w:r>
    </w:p>
    <w:p>
      <w:pPr>
        <w:spacing w:after="0" w:line="246" w:lineRule="exact"/>
        <w:rPr>
          <w:sz w:val="20"/>
          <w:szCs w:val="20"/>
          <w:color w:val="auto"/>
        </w:rPr>
      </w:pPr>
    </w:p>
    <w:p>
      <w:pPr>
        <w:ind w:left="460" w:hanging="300"/>
        <w:spacing w:after="0"/>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HEICO Corporation;</w:t>
      </w:r>
    </w:p>
    <w:p>
      <w:pPr>
        <w:spacing w:after="0" w:line="245" w:lineRule="exact"/>
        <w:rPr>
          <w:rFonts w:ascii="Times New Roman" w:cs="Times New Roman" w:eastAsia="Times New Roman" w:hAnsi="Times New Roman"/>
          <w:sz w:val="17"/>
          <w:szCs w:val="17"/>
          <w:color w:val="auto"/>
        </w:rPr>
      </w:pPr>
    </w:p>
    <w:p>
      <w:pPr>
        <w:ind w:left="480" w:right="220" w:hanging="320"/>
        <w:spacing w:after="0" w:line="292" w:lineRule="auto"/>
        <w:tabs>
          <w:tab w:leader="none" w:pos="4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480" w:right="20" w:hanging="320"/>
        <w:spacing w:after="0" w:line="292" w:lineRule="auto"/>
        <w:tabs>
          <w:tab w:leader="none" w:pos="4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480" w:right="180" w:hanging="320"/>
        <w:spacing w:after="0" w:line="273" w:lineRule="auto"/>
        <w:tabs>
          <w:tab w:leader="none" w:pos="4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700" w:right="280" w:hanging="229"/>
        <w:spacing w:after="0" w:line="273" w:lineRule="auto"/>
        <w:tabs>
          <w:tab w:leader="none" w:pos="64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ind w:left="700" w:right="80" w:hanging="229"/>
        <w:spacing w:after="0" w:line="273" w:lineRule="auto"/>
        <w:tabs>
          <w:tab w:leader="none" w:pos="65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700" w:right="140" w:hanging="229"/>
        <w:spacing w:after="0" w:line="292" w:lineRule="auto"/>
        <w:tabs>
          <w:tab w:leader="none" w:pos="64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700" w:right="120" w:hanging="229"/>
        <w:spacing w:after="0" w:line="273" w:lineRule="auto"/>
        <w:tabs>
          <w:tab w:leader="none" w:pos="65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480" w:right="600" w:hanging="320"/>
        <w:spacing w:after="0" w:line="292" w:lineRule="auto"/>
        <w:tabs>
          <w:tab w:leader="none" w:pos="4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700" w:right="60" w:hanging="229"/>
        <w:spacing w:after="0" w:line="292" w:lineRule="auto"/>
        <w:tabs>
          <w:tab w:leader="none" w:pos="64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700" w:right="280" w:hanging="229"/>
        <w:spacing w:after="0" w:line="292" w:lineRule="auto"/>
        <w:tabs>
          <w:tab w:leader="none" w:pos="65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May 29, 2026</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ERIC A. MENDELSON</w:t>
            </w:r>
          </w:p>
        </w:tc>
        <w:tc>
          <w:tcPr>
            <w:tcW w:w="340" w:type="dxa"/>
            <w:vAlign w:val="bottom"/>
          </w:tcPr>
          <w:p>
            <w:pPr>
              <w:spacing w:after="0"/>
              <w:rPr>
                <w:sz w:val="16"/>
                <w:szCs w:val="16"/>
                <w:color w:val="auto"/>
              </w:rPr>
            </w:pPr>
          </w:p>
        </w:tc>
      </w:tr>
      <w:tr>
        <w:trPr>
          <w:trHeight w:val="234"/>
        </w:trPr>
        <w:tc>
          <w:tcPr>
            <w:tcW w:w="676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A. Mendelson</w:t>
            </w:r>
          </w:p>
        </w:tc>
      </w:tr>
      <w:tr>
        <w:trPr>
          <w:trHeight w:val="221"/>
        </w:trPr>
        <w:tc>
          <w:tcPr>
            <w:tcW w:w="67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Co-Chief Executive Officer</w:t>
            </w:r>
          </w:p>
        </w:tc>
      </w:tr>
      <w:tr>
        <w:trPr>
          <w:trHeight w:val="226"/>
        </w:trPr>
        <w:tc>
          <w:tcPr>
            <w:tcW w:w="67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(Co-Principal Executive Officer)</w:t>
            </w:r>
          </w:p>
        </w:tc>
      </w:tr>
    </w:tbl>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13a-14(a)/15d-14(a) CERTIFICATION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Victor H. Mendelson, certify that:</w:t>
      </w:r>
    </w:p>
    <w:p>
      <w:pPr>
        <w:spacing w:after="0" w:line="246" w:lineRule="exact"/>
        <w:rPr>
          <w:sz w:val="20"/>
          <w:szCs w:val="20"/>
          <w:color w:val="auto"/>
        </w:rPr>
      </w:pPr>
    </w:p>
    <w:p>
      <w:pPr>
        <w:ind w:left="460" w:hanging="300"/>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HEICO Corporation;</w:t>
      </w:r>
    </w:p>
    <w:p>
      <w:pPr>
        <w:spacing w:after="0" w:line="245" w:lineRule="exact"/>
        <w:rPr>
          <w:rFonts w:ascii="Times New Roman" w:cs="Times New Roman" w:eastAsia="Times New Roman" w:hAnsi="Times New Roman"/>
          <w:sz w:val="17"/>
          <w:szCs w:val="17"/>
          <w:color w:val="auto"/>
        </w:rPr>
      </w:pPr>
    </w:p>
    <w:p>
      <w:pPr>
        <w:ind w:left="480" w:right="220" w:hanging="320"/>
        <w:spacing w:after="0" w:line="292" w:lineRule="auto"/>
        <w:tabs>
          <w:tab w:leader="none" w:pos="4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480" w:right="20" w:hanging="320"/>
        <w:spacing w:after="0" w:line="292" w:lineRule="auto"/>
        <w:tabs>
          <w:tab w:leader="none" w:pos="4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480" w:right="180" w:hanging="320"/>
        <w:spacing w:after="0" w:line="273" w:lineRule="auto"/>
        <w:tabs>
          <w:tab w:leader="none" w:pos="4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700" w:right="280" w:hanging="229"/>
        <w:spacing w:after="0" w:line="273" w:lineRule="auto"/>
        <w:tabs>
          <w:tab w:leader="none" w:pos="64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ind w:left="700" w:right="80" w:hanging="229"/>
        <w:spacing w:after="0" w:line="273" w:lineRule="auto"/>
        <w:tabs>
          <w:tab w:leader="none" w:pos="65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700" w:right="140" w:hanging="229"/>
        <w:spacing w:after="0" w:line="292" w:lineRule="auto"/>
        <w:tabs>
          <w:tab w:leader="none" w:pos="64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700" w:right="120" w:hanging="229"/>
        <w:spacing w:after="0" w:line="273" w:lineRule="auto"/>
        <w:tabs>
          <w:tab w:leader="none" w:pos="65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480" w:right="600" w:hanging="320"/>
        <w:spacing w:after="0" w:line="292" w:lineRule="auto"/>
        <w:tabs>
          <w:tab w:leader="none" w:pos="4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700" w:right="60" w:hanging="229"/>
        <w:spacing w:after="0" w:line="292" w:lineRule="auto"/>
        <w:tabs>
          <w:tab w:leader="none" w:pos="64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700" w:right="280" w:hanging="229"/>
        <w:spacing w:after="0" w:line="292" w:lineRule="auto"/>
        <w:tabs>
          <w:tab w:leader="none" w:pos="65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May 29, 2026</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VICTOR H. MENDELSON</w:t>
            </w:r>
          </w:p>
        </w:tc>
        <w:tc>
          <w:tcPr>
            <w:tcW w:w="100" w:type="dxa"/>
            <w:vAlign w:val="bottom"/>
          </w:tcPr>
          <w:p>
            <w:pPr>
              <w:spacing w:after="0"/>
              <w:rPr>
                <w:sz w:val="16"/>
                <w:szCs w:val="16"/>
                <w:color w:val="auto"/>
              </w:rPr>
            </w:pPr>
          </w:p>
        </w:tc>
      </w:tr>
      <w:tr>
        <w:trPr>
          <w:trHeight w:val="234"/>
        </w:trPr>
        <w:tc>
          <w:tcPr>
            <w:tcW w:w="676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Victor H. Mendelson</w:t>
            </w:r>
          </w:p>
        </w:tc>
      </w:tr>
      <w:tr>
        <w:trPr>
          <w:trHeight w:val="221"/>
        </w:trPr>
        <w:tc>
          <w:tcPr>
            <w:tcW w:w="67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Co-Chief Executive Officer</w:t>
            </w:r>
          </w:p>
        </w:tc>
      </w:tr>
      <w:tr>
        <w:trPr>
          <w:trHeight w:val="226"/>
        </w:trPr>
        <w:tc>
          <w:tcPr>
            <w:tcW w:w="67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(Co-Principal Executive Officer)</w:t>
            </w:r>
          </w:p>
        </w:tc>
      </w:tr>
    </w:tbl>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color w:val="auto"/>
        </w:rPr>
        <w:t>Exhibit 31.3</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13a-14(a)/15d-14(a) CERTIFICATION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Carlos L. Macau, Jr., certify that:</w:t>
      </w:r>
    </w:p>
    <w:p>
      <w:pPr>
        <w:spacing w:after="0" w:line="246" w:lineRule="exact"/>
        <w:rPr>
          <w:sz w:val="20"/>
          <w:szCs w:val="20"/>
          <w:color w:val="auto"/>
        </w:rPr>
      </w:pPr>
    </w:p>
    <w:p>
      <w:pPr>
        <w:ind w:left="460" w:hanging="300"/>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HEICO Corporation;</w:t>
      </w:r>
    </w:p>
    <w:p>
      <w:pPr>
        <w:spacing w:after="0" w:line="245" w:lineRule="exact"/>
        <w:rPr>
          <w:rFonts w:ascii="Times New Roman" w:cs="Times New Roman" w:eastAsia="Times New Roman" w:hAnsi="Times New Roman"/>
          <w:sz w:val="17"/>
          <w:szCs w:val="17"/>
          <w:color w:val="auto"/>
        </w:rPr>
      </w:pPr>
    </w:p>
    <w:p>
      <w:pPr>
        <w:ind w:left="480" w:right="220" w:hanging="320"/>
        <w:spacing w:after="0" w:line="292" w:lineRule="auto"/>
        <w:tabs>
          <w:tab w:leader="none" w:pos="4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480" w:right="20" w:hanging="320"/>
        <w:spacing w:after="0" w:line="292" w:lineRule="auto"/>
        <w:tabs>
          <w:tab w:leader="none" w:pos="4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480" w:right="180" w:hanging="320"/>
        <w:spacing w:after="0" w:line="273" w:lineRule="auto"/>
        <w:tabs>
          <w:tab w:leader="none" w:pos="4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700" w:right="280" w:hanging="229"/>
        <w:spacing w:after="0" w:line="273" w:lineRule="auto"/>
        <w:tabs>
          <w:tab w:leader="none" w:pos="64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ind w:left="700" w:right="80" w:hanging="229"/>
        <w:spacing w:after="0" w:line="273" w:lineRule="auto"/>
        <w:tabs>
          <w:tab w:leader="none" w:pos="6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700" w:right="140" w:hanging="229"/>
        <w:spacing w:after="0" w:line="292" w:lineRule="auto"/>
        <w:tabs>
          <w:tab w:leader="none" w:pos="64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700" w:right="120" w:hanging="229"/>
        <w:spacing w:after="0" w:line="273" w:lineRule="auto"/>
        <w:tabs>
          <w:tab w:leader="none" w:pos="6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480" w:right="600" w:hanging="320"/>
        <w:spacing w:after="0" w:line="292" w:lineRule="auto"/>
        <w:tabs>
          <w:tab w:leader="none" w:pos="4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700" w:right="60" w:hanging="229"/>
        <w:spacing w:after="0" w:line="292" w:lineRule="auto"/>
        <w:tabs>
          <w:tab w:leader="none" w:pos="64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700" w:right="280" w:hanging="229"/>
        <w:spacing w:after="0" w:line="292" w:lineRule="auto"/>
        <w:tabs>
          <w:tab w:leader="none" w:pos="6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May 29, 2026</w:t>
            </w: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CARLOS L. MACAU, JR.</w:t>
            </w:r>
          </w:p>
        </w:tc>
      </w:tr>
      <w:tr>
        <w:trPr>
          <w:trHeight w:val="234"/>
        </w:trPr>
        <w:tc>
          <w:tcPr>
            <w:tcW w:w="676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Carlos L. Macau, Jr.</w:t>
            </w:r>
          </w:p>
        </w:tc>
      </w:tr>
      <w:tr>
        <w:trPr>
          <w:trHeight w:val="221"/>
        </w:trPr>
        <w:tc>
          <w:tcPr>
            <w:tcW w:w="676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6"/>
        </w:trPr>
        <w:tc>
          <w:tcPr>
            <w:tcW w:w="676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86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1350 CERTIFICATION</w:t>
      </w:r>
    </w:p>
    <w:p>
      <w:pPr>
        <w:spacing w:after="0" w:line="24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1"/>
          <w:szCs w:val="21"/>
          <w:color w:val="auto"/>
        </w:rPr>
        <w:t>In connection with the Quarterly Report of HEICO Corporation (the “Company”) on Form 10-Q for the period ended April 30, 2026 as filed with the Securities and Exchange Commission on the date hereof (the “Report”), I, Eric A. Mendelson, certify, pursuant to 18 U.S.C. Section 1350, as adopted pursuant to Section 906 of the Sarbanes-Oxley Act of 2002, that:</w:t>
      </w:r>
    </w:p>
    <w:p>
      <w:pPr>
        <w:spacing w:after="0" w:line="184" w:lineRule="exact"/>
        <w:rPr>
          <w:sz w:val="20"/>
          <w:szCs w:val="20"/>
          <w:color w:val="auto"/>
        </w:rPr>
      </w:pPr>
    </w:p>
    <w:p>
      <w:pPr>
        <w:ind w:left="480" w:right="160" w:hanging="320"/>
        <w:spacing w:after="0" w:line="274" w:lineRule="auto"/>
        <w:tabs>
          <w:tab w:leader="none" w:pos="47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1"/>
          <w:szCs w:val="21"/>
          <w:color w:val="auto"/>
        </w:rPr>
      </w:pPr>
    </w:p>
    <w:p>
      <w:pPr>
        <w:ind w:left="480" w:right="140" w:hanging="320"/>
        <w:spacing w:after="0" w:line="287" w:lineRule="auto"/>
        <w:tabs>
          <w:tab w:leader="none" w:pos="47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Date:   May 29, 2026</w:t>
            </w: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ERIC A. MENDELSON</w:t>
            </w:r>
          </w:p>
        </w:tc>
      </w:tr>
      <w:tr>
        <w:trPr>
          <w:trHeight w:val="277"/>
        </w:trPr>
        <w:tc>
          <w:tcPr>
            <w:tcW w:w="5120" w:type="dxa"/>
            <w:vAlign w:val="bottom"/>
          </w:tcPr>
          <w:p>
            <w:pPr>
              <w:spacing w:after="0"/>
              <w:rPr>
                <w:sz w:val="24"/>
                <w:szCs w:val="24"/>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Eric A. Mendelson</w:t>
            </w:r>
          </w:p>
        </w:tc>
        <w:tc>
          <w:tcPr>
            <w:tcW w:w="420" w:type="dxa"/>
            <w:vAlign w:val="bottom"/>
          </w:tcPr>
          <w:p>
            <w:pPr>
              <w:spacing w:after="0"/>
              <w:rPr>
                <w:sz w:val="24"/>
                <w:szCs w:val="24"/>
                <w:color w:val="auto"/>
              </w:rPr>
            </w:pPr>
          </w:p>
        </w:tc>
      </w:tr>
      <w:tr>
        <w:trPr>
          <w:trHeight w:val="260"/>
        </w:trPr>
        <w:tc>
          <w:tcPr>
            <w:tcW w:w="512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Co-Chief Executive Officer</w:t>
            </w:r>
          </w:p>
        </w:tc>
      </w:tr>
      <w:tr>
        <w:trPr>
          <w:trHeight w:val="271"/>
        </w:trPr>
        <w:tc>
          <w:tcPr>
            <w:tcW w:w="512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7"/>
              </w:rPr>
              <w:t>(Co-Principal Executive Officer)</w:t>
            </w:r>
          </w:p>
        </w:tc>
      </w:tr>
    </w:tbl>
    <w:p>
      <w:pPr>
        <w:sectPr>
          <w:pgSz w:w="11900" w:h="16838" w:orient="portrait"/>
          <w:cols w:equalWidth="0" w:num="1">
            <w:col w:w="11240"/>
          </w:cols>
          <w:pgMar w:left="320" w:top="137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1350 CERTIFICATION</w:t>
      </w:r>
    </w:p>
    <w:p>
      <w:pPr>
        <w:spacing w:after="0" w:line="243"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20"/>
          <w:szCs w:val="20"/>
          <w:color w:val="auto"/>
        </w:rPr>
        <w:t>In connection with the Quarterly Report of HEICO Corporation (the “Company”) on Form 10-Q for the period ended April 30, 2026 as filed with the Securities and Exchange Commission on the date hereof (the “Report”), I, Victor H. Mendelson,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 U.S.C. Section 1350, as adopted pursuant to Section 906 of the Sarbanes-Oxley Act of 2002, that:</w:t>
      </w:r>
    </w:p>
    <w:p>
      <w:pPr>
        <w:spacing w:after="0" w:line="215" w:lineRule="exact"/>
        <w:rPr>
          <w:sz w:val="20"/>
          <w:szCs w:val="20"/>
          <w:color w:val="auto"/>
        </w:rPr>
      </w:pPr>
    </w:p>
    <w:p>
      <w:pPr>
        <w:ind w:left="480" w:right="160" w:hanging="320"/>
        <w:spacing w:after="0" w:line="274" w:lineRule="auto"/>
        <w:tabs>
          <w:tab w:leader="none" w:pos="47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1"/>
          <w:szCs w:val="21"/>
          <w:color w:val="auto"/>
        </w:rPr>
      </w:pPr>
    </w:p>
    <w:p>
      <w:pPr>
        <w:ind w:left="480" w:right="140" w:hanging="320"/>
        <w:spacing w:after="0" w:line="287" w:lineRule="auto"/>
        <w:tabs>
          <w:tab w:leader="none" w:pos="47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Date:   May 29, 2026</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/s/ VICTOR H. MENDELSON</w:t>
            </w:r>
          </w:p>
        </w:tc>
        <w:tc>
          <w:tcPr>
            <w:tcW w:w="120" w:type="dxa"/>
            <w:vAlign w:val="bottom"/>
          </w:tcPr>
          <w:p>
            <w:pPr>
              <w:spacing w:after="0"/>
              <w:rPr>
                <w:sz w:val="21"/>
                <w:szCs w:val="21"/>
                <w:color w:val="auto"/>
              </w:rPr>
            </w:pPr>
          </w:p>
        </w:tc>
      </w:tr>
      <w:tr>
        <w:trPr>
          <w:trHeight w:val="277"/>
        </w:trPr>
        <w:tc>
          <w:tcPr>
            <w:tcW w:w="5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Victor H. Mendelson</w:t>
            </w:r>
          </w:p>
        </w:tc>
      </w:tr>
      <w:tr>
        <w:trPr>
          <w:trHeight w:val="260"/>
        </w:trPr>
        <w:tc>
          <w:tcPr>
            <w:tcW w:w="512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Co-Chief Executive Officer</w:t>
            </w:r>
          </w:p>
        </w:tc>
      </w:tr>
      <w:tr>
        <w:trPr>
          <w:trHeight w:val="271"/>
        </w:trPr>
        <w:tc>
          <w:tcPr>
            <w:tcW w:w="512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7"/>
              </w:rPr>
              <w:t>(Co-Principal Executive Officer)</w:t>
            </w:r>
          </w:p>
        </w:tc>
      </w:tr>
    </w:tbl>
    <w:p>
      <w:pPr>
        <w:sectPr>
          <w:pgSz w:w="11900" w:h="16838" w:orient="portrait"/>
          <w:cols w:equalWidth="0" w:num="1">
            <w:col w:w="11240"/>
          </w:cols>
          <w:pgMar w:left="320" w:top="137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1"/>
          <w:szCs w:val="21"/>
          <w:color w:val="auto"/>
        </w:rPr>
        <w:t>Exhibit 32.3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1350 CERTIFICATION</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1"/>
          <w:szCs w:val="21"/>
          <w:color w:val="auto"/>
        </w:rPr>
        <w:t>In connection with the Quarterly Report of HEICO Corporation (the “Company”) on Form 10-Q for the period ended April 30, 2026 as filed with the Securities and Exchange Commission on the date hereof (the “Report”), I, Carlos L. Macau, Jr., certify, pursuant to 18 U.S.C. Section 1350, as adopted pursuant to Section 906 of the Sarbanes-Oxley Act of 2002, that:</w:t>
      </w:r>
    </w:p>
    <w:p>
      <w:pPr>
        <w:spacing w:after="0" w:line="184" w:lineRule="exact"/>
        <w:rPr>
          <w:sz w:val="20"/>
          <w:szCs w:val="20"/>
          <w:color w:val="auto"/>
        </w:rPr>
      </w:pPr>
    </w:p>
    <w:p>
      <w:pPr>
        <w:ind w:left="480" w:right="160" w:hanging="320"/>
        <w:spacing w:after="0" w:line="274" w:lineRule="auto"/>
        <w:tabs>
          <w:tab w:leader="none" w:pos="47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21"/>
          <w:szCs w:val="21"/>
          <w:color w:val="auto"/>
        </w:rPr>
      </w:pPr>
    </w:p>
    <w:p>
      <w:pPr>
        <w:ind w:left="480" w:right="140" w:hanging="320"/>
        <w:spacing w:after="0" w:line="287" w:lineRule="auto"/>
        <w:tabs>
          <w:tab w:leader="none" w:pos="47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Date:   May 29, 2026</w:t>
            </w: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/s/ CARLOS L. MACAU, JR.</w:t>
            </w:r>
          </w:p>
        </w:tc>
      </w:tr>
      <w:tr>
        <w:trPr>
          <w:trHeight w:val="277"/>
        </w:trPr>
        <w:tc>
          <w:tcPr>
            <w:tcW w:w="512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Carlos L. Macau, Jr.</w:t>
            </w:r>
          </w:p>
        </w:tc>
      </w:tr>
      <w:tr>
        <w:trPr>
          <w:trHeight w:val="260"/>
        </w:trPr>
        <w:tc>
          <w:tcPr>
            <w:tcW w:w="512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Chief Financial Officer</w:t>
            </w:r>
          </w:p>
        </w:tc>
      </w:tr>
      <w:tr>
        <w:trPr>
          <w:trHeight w:val="271"/>
        </w:trPr>
        <w:tc>
          <w:tcPr>
            <w:tcW w:w="512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3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endash "/>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1"/>
    </w:lvl>
    <w:lvl w:ilvl="1">
      <w:lvlJc w:val="left"/>
      <w:lvlText w:val="(%2)"/>
      <w:numFmt w:val="decimal"/>
      <w:start w:val="1"/>
    </w:lvl>
  </w:abstractNum>
  <w:abstractNum w:abstractNumId="10">
    <w:nsid w:val="257130A3"/>
    <w:multiLevelType w:val="hybridMultilevel"/>
    <w:lvl w:ilvl="0">
      <w:lvlJc w:val="left"/>
      <w:lvlText w:val="%1."/>
      <w:numFmt w:val="decimal"/>
      <w:start w:val="7"/>
    </w:lvl>
    <w:lvl w:ilvl="1">
      <w:lvlJc w:val="left"/>
      <w:lvlText w:val="%2"/>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1"/>
    </w:lvl>
  </w:abstractNum>
  <w:abstractNum w:abstractNumId="16">
    <w:nsid w:val="2443A858"/>
    <w:multiLevelType w:val="hybridMultilevel"/>
    <w:lvl w:ilvl="0">
      <w:lvlJc w:val="left"/>
      <w:lvlText w:val="%1."/>
      <w:numFmt w:val="decimal"/>
      <w:start w:val="12"/>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22"/>
    </w:lvl>
  </w:abstractNum>
  <w:abstractNum w:abstractNumId="20">
    <w:nsid w:val="8EDBDAB"/>
    <w:multiLevelType w:val="hybridMultilevel"/>
    <w:lvl w:ilvl="0">
      <w:lvlJc w:val="left"/>
      <w:lvlText w:val="*"/>
      <w:numFmt w:val="bullet"/>
      <w:start w:val="1"/>
    </w:lvl>
    <w:lvl w:ilvl="1">
      <w:lvlJc w:val="left"/>
      <w:lvlText w:val="%2"/>
      <w:numFmt w:val="decimal"/>
      <w:start w:val="104"/>
    </w:lvl>
  </w:abstractNum>
  <w:abstractNum w:abstractNumId="21">
    <w:nsid w:val="79838CB2"/>
    <w:multiLevelType w:val="hybridMultilevel"/>
    <w:lvl w:ilvl="0">
      <w:lvlJc w:val="left"/>
      <w:lvlText w:val="**"/>
      <w:numFmt w:val="bullet"/>
      <w:start w:val="1"/>
    </w:lvl>
    <w:lvl w:ilvl="1">
      <w:lvlJc w:val="left"/>
      <w:lvlText w:val="%2"/>
      <w:numFmt w:val="decimal"/>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2026-05-29T18:19:02Z</dcterms:created>
  <dcterms:modified xsi:type="dcterms:W3CDTF">2026-05-29T18:19:02Z</dcterms:modified>
</cp:coreProperties>
</file>